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CC800" w14:textId="4447ACFE" w:rsidR="00EE2A77" w:rsidRDefault="38FE22D8" w:rsidP="38FE22D8">
      <w:pPr>
        <w:spacing w:before="120"/>
        <w:rPr>
          <w:b/>
          <w:bCs/>
          <w:sz w:val="22"/>
          <w:szCs w:val="22"/>
        </w:rPr>
      </w:pPr>
      <w:r w:rsidRPr="38FE22D8">
        <w:rPr>
          <w:b/>
          <w:bCs/>
          <w:sz w:val="22"/>
          <w:szCs w:val="22"/>
        </w:rPr>
        <w:t>Human Rights Council</w:t>
      </w:r>
      <w:r w:rsidR="004971CB">
        <w:rPr>
          <w:b/>
          <w:bCs/>
          <w:sz w:val="22"/>
          <w:szCs w:val="22"/>
        </w:rPr>
        <w:t xml:space="preserve"> </w:t>
      </w:r>
    </w:p>
    <w:p w14:paraId="0AE45167" w14:textId="56524C58" w:rsidR="001D6952" w:rsidRPr="001D6952" w:rsidRDefault="38FE22D8" w:rsidP="38FE22D8">
      <w:pPr>
        <w:rPr>
          <w:sz w:val="22"/>
          <w:szCs w:val="22"/>
        </w:rPr>
      </w:pPr>
      <w:r w:rsidRPr="38FE22D8">
        <w:rPr>
          <w:b/>
          <w:bCs/>
          <w:sz w:val="22"/>
          <w:szCs w:val="22"/>
        </w:rPr>
        <w:t xml:space="preserve">Thirty-eight session </w:t>
      </w:r>
      <w:r w:rsidRPr="38FE22D8">
        <w:rPr>
          <w:sz w:val="22"/>
          <w:szCs w:val="22"/>
        </w:rPr>
        <w:t>18 June–6 July 2018</w:t>
      </w:r>
    </w:p>
    <w:p w14:paraId="2D58F7CE" w14:textId="4EBFF10E" w:rsidR="002F006E" w:rsidRPr="00533C25" w:rsidRDefault="38FE22D8" w:rsidP="38FE22D8">
      <w:pPr>
        <w:rPr>
          <w:b/>
          <w:bCs/>
          <w:sz w:val="22"/>
          <w:szCs w:val="22"/>
        </w:rPr>
      </w:pPr>
      <w:r w:rsidRPr="38FE22D8">
        <w:rPr>
          <w:sz w:val="22"/>
          <w:szCs w:val="22"/>
        </w:rPr>
        <w:t xml:space="preserve">Agenda item 3: </w:t>
      </w:r>
      <w:r w:rsidRPr="38FE22D8">
        <w:rPr>
          <w:b/>
          <w:bCs/>
          <w:sz w:val="22"/>
          <w:szCs w:val="22"/>
        </w:rPr>
        <w:t>Promotion and protection of all human rights, civil, political, economic, social and cultural rights, including the right to development</w:t>
      </w:r>
    </w:p>
    <w:p w14:paraId="07431FE8" w14:textId="29FD0678" w:rsidR="002F006E" w:rsidRPr="007A45D3" w:rsidRDefault="00944104" w:rsidP="38FE22D8">
      <w:pPr>
        <w:pStyle w:val="H1G"/>
        <w:tabs>
          <w:tab w:val="clear" w:pos="851"/>
        </w:tabs>
        <w:ind w:right="9"/>
        <w:rPr>
          <w:sz w:val="22"/>
          <w:szCs w:val="22"/>
        </w:rPr>
      </w:pPr>
      <w:r w:rsidRPr="38FE22D8">
        <w:rPr>
          <w:sz w:val="22"/>
          <w:szCs w:val="22"/>
        </w:rPr>
        <w:t>3</w:t>
      </w:r>
      <w:r w:rsidR="00FB444C" w:rsidRPr="38FE22D8">
        <w:rPr>
          <w:sz w:val="22"/>
          <w:szCs w:val="22"/>
        </w:rPr>
        <w:t>8</w:t>
      </w:r>
      <w:r w:rsidRPr="38FE22D8">
        <w:rPr>
          <w:sz w:val="22"/>
          <w:szCs w:val="22"/>
        </w:rPr>
        <w:t>/…</w:t>
      </w:r>
      <w:r>
        <w:tab/>
      </w:r>
      <w:bookmarkStart w:id="0" w:name="_GoBack"/>
      <w:r w:rsidR="009A418B" w:rsidRPr="38FE22D8">
        <w:rPr>
          <w:sz w:val="22"/>
          <w:szCs w:val="22"/>
        </w:rPr>
        <w:t>Elimination of discrimination against women and girls</w:t>
      </w:r>
      <w:r w:rsidR="004971CB">
        <w:rPr>
          <w:sz w:val="22"/>
          <w:szCs w:val="22"/>
        </w:rPr>
        <w:t xml:space="preserve"> </w:t>
      </w:r>
    </w:p>
    <w:bookmarkEnd w:id="0"/>
    <w:p w14:paraId="352BB703" w14:textId="77777777" w:rsidR="002F006E" w:rsidRPr="006C44F2" w:rsidRDefault="002F006E" w:rsidP="006C44F2">
      <w:pPr>
        <w:pStyle w:val="SingleTxtG"/>
        <w:ind w:left="0" w:right="0"/>
        <w:rPr>
          <w:sz w:val="22"/>
          <w:szCs w:val="22"/>
        </w:rPr>
      </w:pPr>
      <w:r w:rsidRPr="006C44F2">
        <w:rPr>
          <w:sz w:val="22"/>
          <w:szCs w:val="22"/>
        </w:rPr>
        <w:tab/>
      </w:r>
      <w:r w:rsidRPr="006C44F2">
        <w:rPr>
          <w:i/>
          <w:iCs/>
          <w:sz w:val="22"/>
          <w:szCs w:val="22"/>
        </w:rPr>
        <w:t>The Human Rights Council</w:t>
      </w:r>
      <w:r w:rsidRPr="006C44F2">
        <w:rPr>
          <w:sz w:val="22"/>
          <w:szCs w:val="22"/>
        </w:rPr>
        <w:t>,</w:t>
      </w:r>
    </w:p>
    <w:p w14:paraId="6918BC9D" w14:textId="45C3E4AA" w:rsidR="00484670" w:rsidRPr="006C44F2" w:rsidRDefault="38FE22D8" w:rsidP="006C44F2">
      <w:pPr>
        <w:pStyle w:val="SingleTxtG"/>
        <w:numPr>
          <w:ilvl w:val="0"/>
          <w:numId w:val="17"/>
        </w:numPr>
        <w:ind w:left="0" w:right="0"/>
        <w:rPr>
          <w:sz w:val="22"/>
          <w:szCs w:val="22"/>
          <w:lang w:val="en-US"/>
        </w:rPr>
      </w:pPr>
      <w:r w:rsidRPr="006C44F2">
        <w:rPr>
          <w:i/>
          <w:iCs/>
          <w:sz w:val="22"/>
          <w:szCs w:val="22"/>
          <w:lang w:val="en-US"/>
        </w:rPr>
        <w:t>Guided</w:t>
      </w:r>
      <w:r w:rsidRPr="006C44F2">
        <w:rPr>
          <w:sz w:val="22"/>
          <w:szCs w:val="22"/>
          <w:lang w:val="en-US"/>
        </w:rPr>
        <w:t xml:space="preserve"> by the purposes and principles of the Charter of the United Nations, (HRC 35/18, PP1)</w:t>
      </w:r>
    </w:p>
    <w:p w14:paraId="7508BAA8" w14:textId="11B16F93" w:rsidR="00484670" w:rsidRPr="006C44F2" w:rsidRDefault="00484670" w:rsidP="006C44F2">
      <w:pPr>
        <w:pStyle w:val="SingleTxtG"/>
        <w:numPr>
          <w:ilvl w:val="0"/>
          <w:numId w:val="17"/>
        </w:numPr>
        <w:ind w:left="0" w:right="0"/>
        <w:rPr>
          <w:sz w:val="22"/>
          <w:szCs w:val="22"/>
          <w:lang w:val="en-US"/>
        </w:rPr>
      </w:pPr>
      <w:r w:rsidRPr="006C44F2">
        <w:rPr>
          <w:i/>
          <w:iCs/>
          <w:sz w:val="22"/>
          <w:szCs w:val="22"/>
          <w:lang w:val="en-US"/>
        </w:rPr>
        <w:t>Reaffirming</w:t>
      </w:r>
      <w:r w:rsidRPr="006C44F2">
        <w:rPr>
          <w:sz w:val="22"/>
          <w:szCs w:val="22"/>
          <w:lang w:val="en-US"/>
        </w:rPr>
        <w:t xml:space="preserve"> the Universal Declaration of Human Rights, the Convention on the Elimination of All Forms of Discrimination against Women, the Convention on the Rights of the Child</w:t>
      </w:r>
      <w:r w:rsidR="002F52ED" w:rsidRPr="006C44F2">
        <w:rPr>
          <w:sz w:val="22"/>
          <w:szCs w:val="22"/>
          <w:lang w:val="en-US"/>
        </w:rPr>
        <w:t xml:space="preserve">, the International Covenant on Economic, Social and Cultural Rights, the International Covenant on Civil and Political Rights and </w:t>
      </w:r>
      <w:r w:rsidR="007C377A" w:rsidRPr="006C44F2">
        <w:rPr>
          <w:sz w:val="22"/>
          <w:szCs w:val="22"/>
          <w:lang w:val="en-US"/>
        </w:rPr>
        <w:t xml:space="preserve">the Conventions adopted by the </w:t>
      </w:r>
      <w:r w:rsidR="002F52ED" w:rsidRPr="006C44F2">
        <w:rPr>
          <w:sz w:val="22"/>
          <w:szCs w:val="22"/>
          <w:lang w:val="en-US"/>
        </w:rPr>
        <w:t>International Labor Organization which consider the issue of discrimination against women</w:t>
      </w:r>
      <w:r w:rsidR="00B50D48" w:rsidRPr="006C44F2">
        <w:rPr>
          <w:rStyle w:val="FootnoteReference"/>
          <w:sz w:val="22"/>
          <w:szCs w:val="22"/>
          <w:lang w:val="en-US"/>
        </w:rPr>
        <w:footnoteReference w:id="2"/>
      </w:r>
      <w:r w:rsidR="007C377A" w:rsidRPr="006C44F2">
        <w:rPr>
          <w:sz w:val="22"/>
          <w:szCs w:val="22"/>
          <w:lang w:val="en-US"/>
        </w:rPr>
        <w:t>,</w:t>
      </w:r>
      <w:r w:rsidRPr="006C44F2">
        <w:rPr>
          <w:sz w:val="22"/>
          <w:szCs w:val="22"/>
          <w:lang w:val="en-US"/>
        </w:rPr>
        <w:t xml:space="preserve"> and all other relevant international human rights instruments,</w:t>
      </w:r>
      <w:r w:rsidR="00FB444C" w:rsidRPr="006C44F2">
        <w:rPr>
          <w:sz w:val="22"/>
          <w:szCs w:val="22"/>
          <w:lang w:val="en-US"/>
        </w:rPr>
        <w:t xml:space="preserve"> </w:t>
      </w:r>
      <w:r w:rsidR="007C377A" w:rsidRPr="006C44F2">
        <w:rPr>
          <w:sz w:val="22"/>
          <w:szCs w:val="22"/>
          <w:lang w:val="en-US"/>
        </w:rPr>
        <w:t>(from HRC 35/18</w:t>
      </w:r>
      <w:r w:rsidR="00325FC5" w:rsidRPr="006C44F2">
        <w:rPr>
          <w:sz w:val="22"/>
          <w:szCs w:val="22"/>
          <w:lang w:val="en-US"/>
        </w:rPr>
        <w:t>, PP2</w:t>
      </w:r>
      <w:r w:rsidR="007C377A" w:rsidRPr="006C44F2">
        <w:rPr>
          <w:sz w:val="22"/>
          <w:szCs w:val="22"/>
          <w:lang w:val="en-US"/>
        </w:rPr>
        <w:t>)</w:t>
      </w:r>
    </w:p>
    <w:p w14:paraId="6AEDC740" w14:textId="57EB06FE" w:rsidR="00484670" w:rsidRPr="006C44F2" w:rsidRDefault="38FE22D8" w:rsidP="006C44F2">
      <w:pPr>
        <w:pStyle w:val="SingleTxtG"/>
        <w:numPr>
          <w:ilvl w:val="0"/>
          <w:numId w:val="17"/>
        </w:numPr>
        <w:ind w:left="0" w:right="0"/>
        <w:rPr>
          <w:sz w:val="22"/>
          <w:szCs w:val="22"/>
          <w:lang w:val="en-US"/>
        </w:rPr>
      </w:pPr>
      <w:r w:rsidRPr="006C44F2">
        <w:rPr>
          <w:i/>
          <w:iCs/>
          <w:sz w:val="22"/>
          <w:szCs w:val="22"/>
          <w:lang w:val="en-US"/>
        </w:rPr>
        <w:t>Recalling</w:t>
      </w:r>
      <w:r w:rsidRPr="006C44F2">
        <w:rPr>
          <w:sz w:val="22"/>
          <w:szCs w:val="22"/>
          <w:lang w:val="en-US"/>
        </w:rPr>
        <w:t xml:space="preserve"> the Vienna Declaration and </w:t>
      </w:r>
      <w:proofErr w:type="spellStart"/>
      <w:r w:rsidRPr="006C44F2">
        <w:rPr>
          <w:sz w:val="22"/>
          <w:szCs w:val="22"/>
          <w:lang w:val="en-US"/>
        </w:rPr>
        <w:t>Programme</w:t>
      </w:r>
      <w:proofErr w:type="spellEnd"/>
      <w:r w:rsidRPr="006C44F2">
        <w:rPr>
          <w:sz w:val="22"/>
          <w:szCs w:val="22"/>
          <w:lang w:val="en-US"/>
        </w:rPr>
        <w:t xml:space="preserve"> of Action, the </w:t>
      </w:r>
      <w:proofErr w:type="spellStart"/>
      <w:r w:rsidRPr="006C44F2">
        <w:rPr>
          <w:sz w:val="22"/>
          <w:szCs w:val="22"/>
          <w:lang w:val="en-US"/>
        </w:rPr>
        <w:t>Programme</w:t>
      </w:r>
      <w:proofErr w:type="spellEnd"/>
      <w:r w:rsidRPr="006C44F2">
        <w:rPr>
          <w:sz w:val="22"/>
          <w:szCs w:val="22"/>
          <w:lang w:val="en-US"/>
        </w:rPr>
        <w:t xml:space="preserve"> of Action of the International Conference on Population and Development, the Beijing Declaration and Platform for Action and the outcome documents of their review conferences, the Durban Declaration and </w:t>
      </w:r>
      <w:proofErr w:type="spellStart"/>
      <w:r w:rsidRPr="006C44F2">
        <w:rPr>
          <w:sz w:val="22"/>
          <w:szCs w:val="22"/>
          <w:lang w:val="en-US"/>
        </w:rPr>
        <w:t>Programme</w:t>
      </w:r>
      <w:proofErr w:type="spellEnd"/>
      <w:r w:rsidRPr="006C44F2">
        <w:rPr>
          <w:sz w:val="22"/>
          <w:szCs w:val="22"/>
          <w:lang w:val="en-US"/>
        </w:rPr>
        <w:t xml:space="preserve"> of Action and the outcome document of the Durban Review Conference, (HRC 35/18, PP3)</w:t>
      </w:r>
    </w:p>
    <w:p w14:paraId="3F01C4C8" w14:textId="3E28851E" w:rsidR="00484670" w:rsidRPr="006C44F2" w:rsidRDefault="38FE22D8" w:rsidP="006C44F2">
      <w:pPr>
        <w:pStyle w:val="SingleTxtG"/>
        <w:numPr>
          <w:ilvl w:val="0"/>
          <w:numId w:val="17"/>
        </w:numPr>
        <w:ind w:left="0" w:right="0"/>
        <w:rPr>
          <w:sz w:val="22"/>
          <w:szCs w:val="22"/>
          <w:lang w:val="en-US"/>
        </w:rPr>
      </w:pPr>
      <w:r w:rsidRPr="006C44F2">
        <w:rPr>
          <w:i/>
          <w:iCs/>
          <w:sz w:val="22"/>
          <w:szCs w:val="22"/>
          <w:lang w:val="en-US"/>
        </w:rPr>
        <w:t>Recalling</w:t>
      </w:r>
      <w:r w:rsidRPr="006C44F2">
        <w:rPr>
          <w:sz w:val="22"/>
          <w:szCs w:val="22"/>
          <w:lang w:val="en-US"/>
        </w:rPr>
        <w:t xml:space="preserve"> </w:t>
      </w:r>
      <w:r w:rsidRPr="006C44F2">
        <w:rPr>
          <w:i/>
          <w:iCs/>
          <w:sz w:val="22"/>
          <w:szCs w:val="22"/>
          <w:lang w:val="en-US"/>
        </w:rPr>
        <w:t>also</w:t>
      </w:r>
      <w:r w:rsidRPr="006C44F2">
        <w:rPr>
          <w:sz w:val="22"/>
          <w:szCs w:val="22"/>
          <w:lang w:val="en-US"/>
        </w:rPr>
        <w:t xml:space="preserve"> all relevant resolutions and agreed conclusions adopted by the Human Rights Council, the General Assembly, the Security Council, the Commission on the Status of Women and other United Nations agencies and bodies, which consider the issue of discrimination against women and girls (HRC 35/18, PP4)</w:t>
      </w:r>
    </w:p>
    <w:p w14:paraId="41E7011A" w14:textId="3969C79C" w:rsidR="00484670" w:rsidRPr="006C44F2" w:rsidRDefault="00484670" w:rsidP="006C44F2">
      <w:pPr>
        <w:pStyle w:val="SingleTxtG"/>
        <w:numPr>
          <w:ilvl w:val="0"/>
          <w:numId w:val="17"/>
        </w:numPr>
        <w:ind w:left="0" w:right="0"/>
        <w:rPr>
          <w:sz w:val="22"/>
          <w:szCs w:val="22"/>
          <w:lang w:val="en-US"/>
        </w:rPr>
      </w:pPr>
      <w:r w:rsidRPr="006C44F2">
        <w:rPr>
          <w:i/>
          <w:iCs/>
          <w:sz w:val="22"/>
          <w:szCs w:val="22"/>
          <w:lang w:val="en-US"/>
        </w:rPr>
        <w:t>Welcoming</w:t>
      </w:r>
      <w:r w:rsidRPr="006C44F2">
        <w:rPr>
          <w:sz w:val="22"/>
          <w:szCs w:val="22"/>
          <w:lang w:val="en-US"/>
        </w:rPr>
        <w:t xml:space="preserve"> the inclusion of both gender equality and the empowerment of all women and girls as a stand-alone goal and its integration into all goals and targets of the 2030 Agenda for Sustainable Development,</w:t>
      </w:r>
      <w:r w:rsidR="00E373AB" w:rsidRPr="006C44F2">
        <w:rPr>
          <w:rStyle w:val="FootnoteReference"/>
          <w:sz w:val="22"/>
          <w:szCs w:val="22"/>
          <w:lang w:val="en-US"/>
        </w:rPr>
        <w:footnoteReference w:id="3"/>
      </w:r>
      <w:r w:rsidRPr="006C44F2">
        <w:rPr>
          <w:sz w:val="22"/>
          <w:szCs w:val="22"/>
          <w:lang w:val="en-US"/>
        </w:rPr>
        <w:t xml:space="preserve"> and the adoption of the Addis Ababa Action Agenda</w:t>
      </w:r>
      <w:r w:rsidR="004C21FE" w:rsidRPr="006C44F2">
        <w:rPr>
          <w:sz w:val="22"/>
          <w:szCs w:val="22"/>
          <w:lang w:val="en-US"/>
        </w:rPr>
        <w:t xml:space="preserve"> of the Third International Conference on Financing for Development</w:t>
      </w:r>
      <w:r w:rsidRPr="006C44F2">
        <w:rPr>
          <w:sz w:val="22"/>
          <w:szCs w:val="22"/>
          <w:lang w:val="en-US"/>
        </w:rPr>
        <w:t>,</w:t>
      </w:r>
      <w:r w:rsidR="00E373AB" w:rsidRPr="006C44F2">
        <w:rPr>
          <w:rStyle w:val="FootnoteReference"/>
          <w:sz w:val="22"/>
          <w:szCs w:val="22"/>
          <w:lang w:val="en-US"/>
        </w:rPr>
        <w:footnoteReference w:id="4"/>
      </w:r>
      <w:r w:rsidR="007C377A" w:rsidRPr="006C44F2">
        <w:rPr>
          <w:sz w:val="22"/>
          <w:szCs w:val="22"/>
          <w:lang w:val="en-US"/>
        </w:rPr>
        <w:t xml:space="preserve"> (HRC 35/18</w:t>
      </w:r>
      <w:r w:rsidR="00325FC5" w:rsidRPr="006C44F2">
        <w:rPr>
          <w:sz w:val="22"/>
          <w:szCs w:val="22"/>
          <w:lang w:val="en-US"/>
        </w:rPr>
        <w:t>, PP5</w:t>
      </w:r>
      <w:r w:rsidR="007C377A" w:rsidRPr="006C44F2">
        <w:rPr>
          <w:sz w:val="22"/>
          <w:szCs w:val="22"/>
          <w:lang w:val="en-US"/>
        </w:rPr>
        <w:t>)</w:t>
      </w:r>
    </w:p>
    <w:p w14:paraId="47DD4D61" w14:textId="485EAC3D" w:rsidR="00072C8A" w:rsidRPr="006C44F2" w:rsidRDefault="38FE22D8" w:rsidP="006C44F2">
      <w:pPr>
        <w:pStyle w:val="SingleTxtG"/>
        <w:numPr>
          <w:ilvl w:val="0"/>
          <w:numId w:val="17"/>
        </w:numPr>
        <w:ind w:left="0" w:right="0"/>
        <w:rPr>
          <w:sz w:val="22"/>
          <w:szCs w:val="22"/>
          <w:lang w:val="en-US"/>
        </w:rPr>
      </w:pPr>
      <w:r w:rsidRPr="006C44F2">
        <w:rPr>
          <w:i/>
          <w:iCs/>
          <w:sz w:val="22"/>
          <w:szCs w:val="22"/>
          <w:lang w:val="en-US"/>
        </w:rPr>
        <w:t>Underscoring</w:t>
      </w:r>
      <w:r w:rsidRPr="006C44F2">
        <w:rPr>
          <w:sz w:val="22"/>
          <w:szCs w:val="22"/>
          <w:lang w:val="en-US"/>
        </w:rPr>
        <w:t xml:space="preserve"> that international human rights law prohibits discrimination, inter alia, on the basis of sex and gender and that national legislation should adhere to each State</w:t>
      </w:r>
      <w:r w:rsidR="00723419">
        <w:rPr>
          <w:sz w:val="22"/>
          <w:szCs w:val="22"/>
          <w:lang w:val="en-US"/>
        </w:rPr>
        <w:t>’</w:t>
      </w:r>
      <w:r w:rsidRPr="006C44F2">
        <w:rPr>
          <w:sz w:val="22"/>
          <w:szCs w:val="22"/>
          <w:lang w:val="en-US"/>
        </w:rPr>
        <w:t>s international obligations, (from HRC 35/18, PP9)</w:t>
      </w:r>
    </w:p>
    <w:p w14:paraId="51B40894" w14:textId="74DDABA5" w:rsidR="39CA7939" w:rsidRPr="006C44F2" w:rsidRDefault="38FE22D8" w:rsidP="006C44F2">
      <w:pPr>
        <w:pStyle w:val="SingleTxtG"/>
        <w:numPr>
          <w:ilvl w:val="0"/>
          <w:numId w:val="17"/>
        </w:numPr>
        <w:ind w:left="0" w:right="0"/>
        <w:rPr>
          <w:sz w:val="22"/>
          <w:szCs w:val="22"/>
          <w:lang w:val="en-US"/>
        </w:rPr>
      </w:pPr>
      <w:r w:rsidRPr="006C44F2">
        <w:rPr>
          <w:i/>
          <w:iCs/>
          <w:sz w:val="22"/>
          <w:szCs w:val="22"/>
          <w:lang w:val="en-US"/>
        </w:rPr>
        <w:t xml:space="preserve">Recalling </w:t>
      </w:r>
      <w:r w:rsidRPr="006C44F2">
        <w:rPr>
          <w:sz w:val="22"/>
          <w:szCs w:val="22"/>
          <w:lang w:val="en-US"/>
        </w:rPr>
        <w:t>that all human rights are universal, indivisible, interdependent and interrelated, and that gender equality must be promoted in a comprehensive and systematic manner, and that persistent discrimination within families and societies, and restrictions to economic, social, cultural, civil and political rights have a debilitating impact on women</w:t>
      </w:r>
      <w:r w:rsidR="00723419">
        <w:rPr>
          <w:sz w:val="22"/>
          <w:szCs w:val="22"/>
          <w:lang w:val="en-US"/>
        </w:rPr>
        <w:t>’</w:t>
      </w:r>
      <w:r w:rsidRPr="006C44F2">
        <w:rPr>
          <w:sz w:val="22"/>
          <w:szCs w:val="22"/>
          <w:lang w:val="en-US"/>
        </w:rPr>
        <w:t>s and girls</w:t>
      </w:r>
      <w:r w:rsidR="00723419">
        <w:rPr>
          <w:sz w:val="22"/>
          <w:szCs w:val="22"/>
          <w:lang w:val="en-US"/>
        </w:rPr>
        <w:t>’</w:t>
      </w:r>
      <w:r w:rsidRPr="006C44F2">
        <w:rPr>
          <w:sz w:val="22"/>
          <w:szCs w:val="22"/>
          <w:lang w:val="en-US"/>
        </w:rPr>
        <w:t xml:space="preserve"> capacity to claim and enjoy equal rights in all aspects of life (from VDPA OP5 and HRC/38/46 p. 43 and 46)</w:t>
      </w:r>
    </w:p>
    <w:p w14:paraId="434EF025" w14:textId="1FECA7C5" w:rsidR="39CA7939" w:rsidRPr="006C44F2" w:rsidRDefault="00175DB6" w:rsidP="006C44F2">
      <w:pPr>
        <w:pStyle w:val="SingleTxtG"/>
        <w:numPr>
          <w:ilvl w:val="0"/>
          <w:numId w:val="17"/>
        </w:numPr>
        <w:ind w:left="0" w:right="0"/>
        <w:rPr>
          <w:sz w:val="22"/>
          <w:szCs w:val="22"/>
          <w:lang w:val="en-US"/>
        </w:rPr>
      </w:pPr>
      <w:r w:rsidRPr="00175DB6">
        <w:rPr>
          <w:i/>
          <w:sz w:val="22"/>
          <w:szCs w:val="22"/>
          <w:lang w:val="en-US"/>
        </w:rPr>
        <w:t>E</w:t>
      </w:r>
      <w:r w:rsidR="38FE22D8" w:rsidRPr="00175DB6">
        <w:rPr>
          <w:i/>
          <w:sz w:val="22"/>
          <w:szCs w:val="22"/>
          <w:lang w:val="en-US"/>
        </w:rPr>
        <w:t>mphasizing</w:t>
      </w:r>
      <w:r w:rsidR="38FE22D8" w:rsidRPr="006C44F2">
        <w:rPr>
          <w:sz w:val="22"/>
          <w:szCs w:val="22"/>
          <w:lang w:val="en-US"/>
        </w:rPr>
        <w:t xml:space="preserve"> the significant role that women play in economic development and in the eradication of poverty,</w:t>
      </w:r>
      <w:r w:rsidR="38FE22D8" w:rsidRPr="006C44F2">
        <w:rPr>
          <w:sz w:val="22"/>
          <w:szCs w:val="22"/>
        </w:rPr>
        <w:t xml:space="preserve"> and that sustainable development will only be achievable with women</w:t>
      </w:r>
      <w:r w:rsidR="00723419">
        <w:rPr>
          <w:sz w:val="22"/>
          <w:szCs w:val="22"/>
        </w:rPr>
        <w:t>’</w:t>
      </w:r>
      <w:r w:rsidR="38FE22D8" w:rsidRPr="006C44F2">
        <w:rPr>
          <w:sz w:val="22"/>
          <w:szCs w:val="22"/>
        </w:rPr>
        <w:t xml:space="preserve">s economic empowerment, independence and equal economic rights and rights to opportunities and </w:t>
      </w:r>
      <w:r w:rsidR="38FE22D8" w:rsidRPr="006C44F2">
        <w:rPr>
          <w:sz w:val="22"/>
          <w:szCs w:val="22"/>
          <w:lang w:val="en-US"/>
        </w:rPr>
        <w:t xml:space="preserve">resources, including inheritance, ownership and control of land, property, assets and natural and other productive </w:t>
      </w:r>
      <w:r w:rsidR="38FE22D8" w:rsidRPr="006C44F2">
        <w:rPr>
          <w:sz w:val="22"/>
          <w:szCs w:val="22"/>
          <w:lang w:val="en-US"/>
        </w:rPr>
        <w:lastRenderedPageBreak/>
        <w:t xml:space="preserve">resources, credit capital, finance, financial assets, science and technology, </w:t>
      </w:r>
      <w:r w:rsidR="38FE22D8" w:rsidRPr="006C44F2">
        <w:rPr>
          <w:sz w:val="22"/>
          <w:szCs w:val="22"/>
        </w:rPr>
        <w:t>vocational training, information and communications technologies and markets</w:t>
      </w:r>
      <w:r w:rsidR="38FE22D8" w:rsidRPr="006C44F2">
        <w:rPr>
          <w:sz w:val="22"/>
          <w:szCs w:val="22"/>
          <w:lang w:val="en-US"/>
        </w:rPr>
        <w:t xml:space="preserve">, </w:t>
      </w:r>
      <w:r w:rsidR="38FE22D8" w:rsidRPr="006C44F2">
        <w:rPr>
          <w:sz w:val="22"/>
          <w:szCs w:val="22"/>
        </w:rPr>
        <w:t>and removing barriers to their full, equal and meaningful participation in local, national and international economies;</w:t>
      </w:r>
      <w:r w:rsidR="38FE22D8" w:rsidRPr="006C44F2">
        <w:rPr>
          <w:sz w:val="22"/>
          <w:szCs w:val="22"/>
          <w:lang w:val="en-US"/>
        </w:rPr>
        <w:t xml:space="preserve"> (from HRC 35/18, PP13; CSW58 para 42.aa; and Buenos Aires Declaration on Trade and Women</w:t>
      </w:r>
      <w:r w:rsidR="00723419">
        <w:rPr>
          <w:sz w:val="22"/>
          <w:szCs w:val="22"/>
          <w:lang w:val="en-US"/>
        </w:rPr>
        <w:t>’</w:t>
      </w:r>
      <w:r w:rsidR="38FE22D8" w:rsidRPr="006C44F2">
        <w:rPr>
          <w:sz w:val="22"/>
          <w:szCs w:val="22"/>
          <w:lang w:val="en-US"/>
        </w:rPr>
        <w:t>s Economic Empowerment PP3)</w:t>
      </w:r>
    </w:p>
    <w:p w14:paraId="3CCCA81A" w14:textId="4CA40C7D" w:rsidR="39CA7939" w:rsidRPr="006C44F2" w:rsidRDefault="38FE22D8" w:rsidP="006C44F2">
      <w:pPr>
        <w:pStyle w:val="SingleTxtG"/>
        <w:numPr>
          <w:ilvl w:val="0"/>
          <w:numId w:val="17"/>
        </w:numPr>
        <w:ind w:left="0" w:right="0"/>
        <w:rPr>
          <w:sz w:val="22"/>
          <w:szCs w:val="22"/>
          <w:lang w:val="en-US"/>
        </w:rPr>
      </w:pPr>
      <w:r w:rsidRPr="006C44F2">
        <w:rPr>
          <w:i/>
          <w:iCs/>
          <w:sz w:val="22"/>
          <w:szCs w:val="22"/>
          <w:lang w:val="en-US"/>
        </w:rPr>
        <w:t xml:space="preserve">Recognizing </w:t>
      </w:r>
      <w:r w:rsidRPr="006C44F2">
        <w:rPr>
          <w:sz w:val="22"/>
          <w:szCs w:val="22"/>
          <w:lang w:val="en-US"/>
        </w:rPr>
        <w:t>the contribution of families to sustainable development and that the sharing of family responsibilities creates an enabling environment for the empowerment of all women and girls, and that women and men make a significant contribution to the welfare of their families and communities. (and CSW62 p.27)</w:t>
      </w:r>
    </w:p>
    <w:p w14:paraId="1119012D" w14:textId="5519F672" w:rsidR="00072C8A" w:rsidRPr="006C44F2" w:rsidRDefault="05838D85" w:rsidP="006C44F2">
      <w:pPr>
        <w:pStyle w:val="SingleTxtG"/>
        <w:numPr>
          <w:ilvl w:val="0"/>
          <w:numId w:val="17"/>
        </w:numPr>
        <w:ind w:left="0" w:right="0"/>
        <w:rPr>
          <w:sz w:val="22"/>
          <w:szCs w:val="22"/>
        </w:rPr>
      </w:pPr>
      <w:r w:rsidRPr="006C44F2">
        <w:rPr>
          <w:i/>
          <w:iCs/>
          <w:sz w:val="22"/>
          <w:szCs w:val="22"/>
          <w:lang w:val="en-US"/>
        </w:rPr>
        <w:t>Deeply concerned</w:t>
      </w:r>
      <w:r w:rsidRPr="006C44F2">
        <w:rPr>
          <w:sz w:val="22"/>
          <w:szCs w:val="22"/>
          <w:lang w:val="en-US"/>
        </w:rPr>
        <w:t xml:space="preserve"> </w:t>
      </w:r>
      <w:r w:rsidRPr="006C44F2">
        <w:rPr>
          <w:sz w:val="22"/>
          <w:szCs w:val="22"/>
          <w:lang w:val="en-NZ"/>
        </w:rPr>
        <w:t>that discrimination against women and girls persists in all cultures, with different levels of intensity and differing impacts</w:t>
      </w:r>
      <w:r w:rsidR="00484670" w:rsidRPr="006C44F2">
        <w:rPr>
          <w:rStyle w:val="FootnoteReference"/>
          <w:sz w:val="22"/>
          <w:szCs w:val="22"/>
          <w:lang w:val="en-NZ"/>
        </w:rPr>
        <w:footnoteReference w:id="5"/>
      </w:r>
      <w:r w:rsidRPr="006C44F2">
        <w:rPr>
          <w:sz w:val="22"/>
          <w:szCs w:val="22"/>
          <w:lang w:val="en-NZ"/>
        </w:rPr>
        <w:t xml:space="preserve">, and </w:t>
      </w:r>
      <w:r w:rsidRPr="006C44F2">
        <w:rPr>
          <w:sz w:val="22"/>
          <w:szCs w:val="22"/>
          <w:lang w:val="en-US"/>
        </w:rPr>
        <w:t>by the fact that many women and girls everywhere, particularly those who are marginalized or in a vulnerable situation, face multiple and intersecting forms of discrimination and are still subject to discriminatory laws, policies and harmful practices, and that de jure and de facto equality has not been achieved, (HRC 35/18, PP6)</w:t>
      </w:r>
    </w:p>
    <w:p w14:paraId="3B939E3F" w14:textId="2D8C2DF5" w:rsidR="00072C8A" w:rsidRDefault="38FE22D8" w:rsidP="006C44F2">
      <w:pPr>
        <w:pStyle w:val="SingleTxtG"/>
        <w:numPr>
          <w:ilvl w:val="0"/>
          <w:numId w:val="17"/>
        </w:numPr>
        <w:ind w:left="0" w:right="0"/>
        <w:rPr>
          <w:sz w:val="22"/>
          <w:szCs w:val="22"/>
          <w:lang w:val="en-US"/>
        </w:rPr>
      </w:pPr>
      <w:r w:rsidRPr="006C44F2">
        <w:rPr>
          <w:i/>
          <w:iCs/>
          <w:sz w:val="22"/>
          <w:szCs w:val="22"/>
          <w:lang w:val="en-US"/>
        </w:rPr>
        <w:t xml:space="preserve">Expressing </w:t>
      </w:r>
      <w:r w:rsidRPr="006C44F2">
        <w:rPr>
          <w:sz w:val="22"/>
          <w:szCs w:val="22"/>
          <w:lang w:val="en-US"/>
        </w:rPr>
        <w:t>concern</w:t>
      </w:r>
      <w:r w:rsidRPr="006C44F2">
        <w:rPr>
          <w:sz w:val="22"/>
          <w:szCs w:val="22"/>
          <w:lang w:val="en-CA"/>
        </w:rPr>
        <w:t xml:space="preserve"> over persistent gender gaps and </w:t>
      </w:r>
      <w:r w:rsidRPr="006C44F2">
        <w:rPr>
          <w:sz w:val="22"/>
          <w:szCs w:val="22"/>
          <w:lang w:val="en-US"/>
        </w:rPr>
        <w:t>the increase in gender segregation by sector, created by discrimination based on patriarchal social norms,</w:t>
      </w:r>
      <w:r w:rsidRPr="006C44F2">
        <w:rPr>
          <w:sz w:val="22"/>
          <w:szCs w:val="22"/>
          <w:lang w:val="en-CA"/>
        </w:rPr>
        <w:t xml:space="preserve"> showing that </w:t>
      </w:r>
      <w:r w:rsidRPr="006C44F2">
        <w:rPr>
          <w:sz w:val="22"/>
          <w:szCs w:val="22"/>
          <w:lang w:val="en-US"/>
        </w:rPr>
        <w:t xml:space="preserve">women have substantially fewer opportunities than men to participate meaningfully in the </w:t>
      </w:r>
      <w:proofErr w:type="spellStart"/>
      <w:r w:rsidRPr="006C44F2">
        <w:rPr>
          <w:sz w:val="22"/>
          <w:szCs w:val="22"/>
          <w:lang w:val="en-US"/>
        </w:rPr>
        <w:t>labour</w:t>
      </w:r>
      <w:proofErr w:type="spellEnd"/>
      <w:r w:rsidRPr="006C44F2">
        <w:rPr>
          <w:sz w:val="22"/>
          <w:szCs w:val="22"/>
          <w:lang w:val="en-US"/>
        </w:rPr>
        <w:t xml:space="preserve"> market, in the economy and in decision-making processes at all levels and areas, to have control over assets including land; are more likely to be unemployed or underemployed, to be paid less for equal work or work of equal value, to be engaged in precarious work with limit</w:t>
      </w:r>
      <w:r w:rsidR="00175DB6">
        <w:rPr>
          <w:sz w:val="22"/>
          <w:szCs w:val="22"/>
          <w:lang w:val="en-US"/>
        </w:rPr>
        <w:t>ed legal and social protections;</w:t>
      </w:r>
      <w:r w:rsidRPr="006C44F2">
        <w:rPr>
          <w:sz w:val="22"/>
          <w:szCs w:val="22"/>
          <w:lang w:val="en-US"/>
        </w:rPr>
        <w:t xml:space="preserve"> and that women and girls are more likely to undertake a disproportionate share of unpaid care and domestic work, (based on </w:t>
      </w:r>
      <w:r w:rsidRPr="006C44F2">
        <w:rPr>
          <w:sz w:val="22"/>
          <w:szCs w:val="22"/>
          <w:lang w:val="en-CA"/>
        </w:rPr>
        <w:t xml:space="preserve">ILO </w:t>
      </w:r>
      <w:r w:rsidRPr="006C44F2">
        <w:rPr>
          <w:sz w:val="22"/>
          <w:szCs w:val="22"/>
          <w:lang w:val="en-US"/>
        </w:rPr>
        <w:t>World Employment and Social Outlook, 2017)</w:t>
      </w:r>
    </w:p>
    <w:p w14:paraId="4E2CB4DD" w14:textId="1F0C4AA3" w:rsidR="00175DB6" w:rsidRPr="006C44F2" w:rsidRDefault="00175DB6" w:rsidP="00175DB6">
      <w:pPr>
        <w:pStyle w:val="SingleTxtG"/>
        <w:numPr>
          <w:ilvl w:val="0"/>
          <w:numId w:val="17"/>
        </w:numPr>
        <w:ind w:left="0" w:right="0"/>
        <w:rPr>
          <w:sz w:val="22"/>
          <w:szCs w:val="22"/>
          <w:lang w:val="en-US"/>
        </w:rPr>
      </w:pPr>
      <w:r w:rsidRPr="00175DB6">
        <w:rPr>
          <w:i/>
          <w:sz w:val="22"/>
          <w:szCs w:val="22"/>
          <w:lang w:val="en-US"/>
        </w:rPr>
        <w:t>Stressing</w:t>
      </w:r>
      <w:r w:rsidRPr="006C44F2">
        <w:rPr>
          <w:sz w:val="22"/>
          <w:szCs w:val="22"/>
          <w:lang w:val="en-US"/>
        </w:rPr>
        <w:t xml:space="preserve"> the need to promote </w:t>
      </w:r>
      <w:r w:rsidRPr="006C44F2">
        <w:rPr>
          <w:sz w:val="22"/>
          <w:szCs w:val="22"/>
        </w:rPr>
        <w:t>women</w:t>
      </w:r>
      <w:r w:rsidR="00723419">
        <w:rPr>
          <w:sz w:val="22"/>
          <w:szCs w:val="22"/>
        </w:rPr>
        <w:t>’</w:t>
      </w:r>
      <w:r w:rsidRPr="006C44F2">
        <w:rPr>
          <w:sz w:val="22"/>
          <w:szCs w:val="22"/>
        </w:rPr>
        <w:t xml:space="preserve">s right to decent work and their full, equal and meaningful participation in the economy and in decision-making processes at all levels and areas, ensuring access to economic resources, including land and natural resources as well as </w:t>
      </w:r>
      <w:r w:rsidRPr="006C44F2">
        <w:rPr>
          <w:sz w:val="22"/>
          <w:szCs w:val="22"/>
          <w:lang w:val="en-US"/>
        </w:rPr>
        <w:t xml:space="preserve">equal pay for equal work or work of equal value, decent paid care and domestic work by providing social protection and safe work conditions, and to develop and promote policies that facilitate the reconciliation and sharing of work and family responsibilities for both women and men, (from HRC 35/18, PP13, and CSW62 p.46 </w:t>
      </w:r>
      <w:proofErr w:type="spellStart"/>
      <w:r w:rsidRPr="006C44F2">
        <w:rPr>
          <w:sz w:val="22"/>
          <w:szCs w:val="22"/>
          <w:lang w:val="en-US"/>
        </w:rPr>
        <w:t>aaa</w:t>
      </w:r>
      <w:proofErr w:type="spellEnd"/>
      <w:r w:rsidRPr="006C44F2">
        <w:rPr>
          <w:sz w:val="22"/>
          <w:szCs w:val="22"/>
          <w:lang w:val="en-US"/>
        </w:rPr>
        <w:t>)</w:t>
      </w:r>
    </w:p>
    <w:p w14:paraId="214B48C4" w14:textId="01CF3E72" w:rsidR="00072C8A" w:rsidRPr="006C44F2" w:rsidRDefault="38FE22D8" w:rsidP="006C44F2">
      <w:pPr>
        <w:pStyle w:val="SingleTxtG"/>
        <w:numPr>
          <w:ilvl w:val="0"/>
          <w:numId w:val="17"/>
        </w:numPr>
        <w:ind w:left="0" w:right="0"/>
        <w:rPr>
          <w:sz w:val="22"/>
          <w:szCs w:val="22"/>
        </w:rPr>
      </w:pPr>
      <w:r w:rsidRPr="006C44F2">
        <w:rPr>
          <w:i/>
          <w:iCs/>
          <w:sz w:val="22"/>
          <w:szCs w:val="22"/>
        </w:rPr>
        <w:t xml:space="preserve">Expressing </w:t>
      </w:r>
      <w:r w:rsidRPr="006C44F2">
        <w:rPr>
          <w:sz w:val="22"/>
          <w:szCs w:val="22"/>
        </w:rPr>
        <w:t xml:space="preserve">profound concern about the backlash against the progress made by States, international and regional organizations, and civil society, including community-based organizations, feminist groups, women human rights defenders and youth-led organizations to respect, protect and fulfil all human rights, and recognizing that these retrogressions can be linked to authoritarianism in political governance, economic crisis and inequality, politicisation and </w:t>
      </w:r>
      <w:proofErr w:type="spellStart"/>
      <w:r w:rsidRPr="006C44F2">
        <w:rPr>
          <w:sz w:val="22"/>
          <w:szCs w:val="22"/>
        </w:rPr>
        <w:t>instrumentalization</w:t>
      </w:r>
      <w:proofErr w:type="spellEnd"/>
      <w:r w:rsidRPr="006C44F2">
        <w:rPr>
          <w:sz w:val="22"/>
          <w:szCs w:val="22"/>
        </w:rPr>
        <w:t xml:space="preserve"> of religions, and conservative lobbies that oppose the struggle for women</w:t>
      </w:r>
      <w:r w:rsidR="00723419">
        <w:rPr>
          <w:sz w:val="22"/>
          <w:szCs w:val="22"/>
        </w:rPr>
        <w:t>’</w:t>
      </w:r>
      <w:r w:rsidRPr="006C44F2">
        <w:rPr>
          <w:sz w:val="22"/>
          <w:szCs w:val="22"/>
        </w:rPr>
        <w:t>s and girls</w:t>
      </w:r>
      <w:r w:rsidR="00723419">
        <w:rPr>
          <w:sz w:val="22"/>
          <w:szCs w:val="22"/>
        </w:rPr>
        <w:t>’</w:t>
      </w:r>
      <w:r w:rsidRPr="006C44F2">
        <w:rPr>
          <w:sz w:val="22"/>
          <w:szCs w:val="22"/>
        </w:rPr>
        <w:t xml:space="preserve"> equal rights</w:t>
      </w:r>
      <w:r w:rsidRPr="006C44F2">
        <w:rPr>
          <w:i/>
          <w:iCs/>
          <w:sz w:val="22"/>
          <w:szCs w:val="22"/>
        </w:rPr>
        <w:t xml:space="preserve"> </w:t>
      </w:r>
      <w:r w:rsidRPr="006C44F2">
        <w:rPr>
          <w:sz w:val="22"/>
          <w:szCs w:val="22"/>
        </w:rPr>
        <w:t>(from</w:t>
      </w:r>
      <w:r w:rsidRPr="006C44F2">
        <w:rPr>
          <w:b/>
          <w:bCs/>
          <w:sz w:val="22"/>
          <w:szCs w:val="22"/>
        </w:rPr>
        <w:t xml:space="preserve"> </w:t>
      </w:r>
      <w:r w:rsidRPr="006C44F2">
        <w:rPr>
          <w:sz w:val="22"/>
          <w:szCs w:val="22"/>
          <w:lang w:val="en-US"/>
        </w:rPr>
        <w:t>HRC 35/18 PP7 and A/HRC/38/46)</w:t>
      </w:r>
    </w:p>
    <w:p w14:paraId="62E28CA3" w14:textId="6E7FE06E" w:rsidR="5A30BE08" w:rsidRPr="006C44F2" w:rsidRDefault="38FE22D8" w:rsidP="006C44F2">
      <w:pPr>
        <w:pStyle w:val="SingleTxtG"/>
        <w:numPr>
          <w:ilvl w:val="0"/>
          <w:numId w:val="17"/>
        </w:numPr>
        <w:ind w:left="0" w:right="0"/>
        <w:rPr>
          <w:sz w:val="22"/>
          <w:szCs w:val="22"/>
          <w:lang w:val="en-US"/>
        </w:rPr>
      </w:pPr>
      <w:r w:rsidRPr="006C44F2">
        <w:rPr>
          <w:i/>
          <w:iCs/>
          <w:sz w:val="22"/>
          <w:szCs w:val="22"/>
          <w:lang w:val="en-US"/>
        </w:rPr>
        <w:t xml:space="preserve">Recognizing </w:t>
      </w:r>
      <w:r w:rsidRPr="006C44F2">
        <w:rPr>
          <w:sz w:val="22"/>
          <w:szCs w:val="22"/>
          <w:lang w:val="en-US"/>
        </w:rPr>
        <w:t xml:space="preserve">that discrimination against women and girls is inherently linked to deep-rooted gender stereotypes, that discriminatory attitudes, </w:t>
      </w:r>
      <w:proofErr w:type="spellStart"/>
      <w:r w:rsidRPr="006C44F2">
        <w:rPr>
          <w:sz w:val="22"/>
          <w:szCs w:val="22"/>
          <w:lang w:val="en-US"/>
        </w:rPr>
        <w:t>behaviours</w:t>
      </w:r>
      <w:proofErr w:type="spellEnd"/>
      <w:r w:rsidRPr="006C44F2">
        <w:rPr>
          <w:sz w:val="22"/>
          <w:szCs w:val="22"/>
          <w:lang w:val="en-US"/>
        </w:rPr>
        <w:t>, norms, perceptions, customs and harmful practices have direct negative implications for the status and treatment of women and girls and that gender-biased environments promote impunity and impede the implementation of legislative and normative frameworks that guarantee gender equality and prohibit discrimination against women and girls, (from HRC 35/18, PP11)</w:t>
      </w:r>
    </w:p>
    <w:p w14:paraId="424D8545" w14:textId="091174B1" w:rsidR="004210AF" w:rsidRPr="004210AF" w:rsidRDefault="38FE22D8" w:rsidP="0040402F">
      <w:pPr>
        <w:pStyle w:val="SingleTxtG"/>
        <w:numPr>
          <w:ilvl w:val="0"/>
          <w:numId w:val="17"/>
        </w:numPr>
        <w:ind w:left="0" w:right="0"/>
        <w:rPr>
          <w:sz w:val="22"/>
          <w:szCs w:val="22"/>
          <w:lang w:val="en-US"/>
        </w:rPr>
      </w:pPr>
      <w:r w:rsidRPr="004210AF">
        <w:rPr>
          <w:i/>
          <w:iCs/>
          <w:sz w:val="22"/>
          <w:szCs w:val="22"/>
        </w:rPr>
        <w:t xml:space="preserve">Strongly condemning </w:t>
      </w:r>
      <w:r w:rsidRPr="004210AF">
        <w:rPr>
          <w:sz w:val="22"/>
          <w:szCs w:val="22"/>
        </w:rPr>
        <w:t xml:space="preserve">discrimination and gender-based violence in all its forms in public and private spaces, including harassment, sexual </w:t>
      </w:r>
      <w:r w:rsidR="004210AF" w:rsidRPr="004210AF">
        <w:rPr>
          <w:sz w:val="22"/>
          <w:szCs w:val="22"/>
        </w:rPr>
        <w:t xml:space="preserve">and online </w:t>
      </w:r>
      <w:r w:rsidRPr="004210AF">
        <w:rPr>
          <w:sz w:val="22"/>
          <w:szCs w:val="22"/>
        </w:rPr>
        <w:t xml:space="preserve">harassment, domestic violence including intimate partner violence, and recognizing that </w:t>
      </w:r>
      <w:r w:rsidR="004210AF" w:rsidRPr="004210AF">
        <w:rPr>
          <w:sz w:val="22"/>
          <w:szCs w:val="22"/>
        </w:rPr>
        <w:t>they</w:t>
      </w:r>
      <w:r w:rsidRPr="004210AF">
        <w:rPr>
          <w:sz w:val="22"/>
          <w:szCs w:val="22"/>
        </w:rPr>
        <w:t xml:space="preserve"> constitute violations </w:t>
      </w:r>
      <w:r w:rsidR="004210AF" w:rsidRPr="004210AF">
        <w:rPr>
          <w:sz w:val="22"/>
          <w:szCs w:val="22"/>
        </w:rPr>
        <w:t xml:space="preserve">or abuses </w:t>
      </w:r>
      <w:r w:rsidRPr="004210AF">
        <w:rPr>
          <w:sz w:val="22"/>
          <w:szCs w:val="22"/>
        </w:rPr>
        <w:t>of women</w:t>
      </w:r>
      <w:r w:rsidR="00723419">
        <w:rPr>
          <w:sz w:val="22"/>
          <w:szCs w:val="22"/>
        </w:rPr>
        <w:t>’</w:t>
      </w:r>
      <w:r w:rsidRPr="004210AF">
        <w:rPr>
          <w:sz w:val="22"/>
          <w:szCs w:val="22"/>
        </w:rPr>
        <w:t>s and girl</w:t>
      </w:r>
      <w:r w:rsidR="00723419">
        <w:rPr>
          <w:sz w:val="22"/>
          <w:szCs w:val="22"/>
        </w:rPr>
        <w:t>’</w:t>
      </w:r>
      <w:r w:rsidRPr="004210AF">
        <w:rPr>
          <w:sz w:val="22"/>
          <w:szCs w:val="22"/>
        </w:rPr>
        <w:t xml:space="preserve">s human rights and are </w:t>
      </w:r>
      <w:r w:rsidR="004210AF" w:rsidRPr="004210AF">
        <w:rPr>
          <w:sz w:val="22"/>
          <w:szCs w:val="22"/>
        </w:rPr>
        <w:t>a manifestation of gender inequality and a major</w:t>
      </w:r>
      <w:r w:rsidRPr="004210AF">
        <w:rPr>
          <w:sz w:val="22"/>
          <w:szCs w:val="22"/>
        </w:rPr>
        <w:t xml:space="preserve"> impediment to the achievement of women</w:t>
      </w:r>
      <w:r w:rsidR="00723419">
        <w:rPr>
          <w:sz w:val="22"/>
          <w:szCs w:val="22"/>
        </w:rPr>
        <w:t>’</w:t>
      </w:r>
      <w:r w:rsidRPr="004210AF">
        <w:rPr>
          <w:sz w:val="22"/>
          <w:szCs w:val="22"/>
        </w:rPr>
        <w:t>s economic empowerment</w:t>
      </w:r>
      <w:r w:rsidR="004210AF" w:rsidRPr="004210AF">
        <w:rPr>
          <w:sz w:val="22"/>
          <w:szCs w:val="22"/>
        </w:rPr>
        <w:t>, independence</w:t>
      </w:r>
      <w:r w:rsidRPr="004210AF">
        <w:rPr>
          <w:sz w:val="22"/>
          <w:szCs w:val="22"/>
        </w:rPr>
        <w:t xml:space="preserve"> and their social and economic development</w:t>
      </w:r>
      <w:r w:rsidR="004210AF" w:rsidRPr="004210AF">
        <w:rPr>
          <w:sz w:val="22"/>
          <w:szCs w:val="22"/>
        </w:rPr>
        <w:t xml:space="preserve">, imposing </w:t>
      </w:r>
      <w:r w:rsidR="004210AF" w:rsidRPr="004210AF">
        <w:rPr>
          <w:sz w:val="22"/>
          <w:szCs w:val="22"/>
        </w:rPr>
        <w:lastRenderedPageBreak/>
        <w:t>short and long-term costs on society and individuals</w:t>
      </w:r>
      <w:r w:rsidRPr="004210AF">
        <w:rPr>
          <w:sz w:val="22"/>
          <w:szCs w:val="22"/>
        </w:rPr>
        <w:t xml:space="preserve"> (based on </w:t>
      </w:r>
      <w:r w:rsidR="004210AF" w:rsidRPr="004210AF">
        <w:rPr>
          <w:sz w:val="22"/>
          <w:szCs w:val="22"/>
        </w:rPr>
        <w:t>A/RES/70/170 pp.19, CSW</w:t>
      </w:r>
      <w:r w:rsidRPr="004210AF">
        <w:rPr>
          <w:sz w:val="22"/>
          <w:szCs w:val="22"/>
        </w:rPr>
        <w:t>61 pp.14</w:t>
      </w:r>
      <w:r w:rsidR="004210AF" w:rsidRPr="004210AF">
        <w:rPr>
          <w:sz w:val="22"/>
          <w:szCs w:val="22"/>
        </w:rPr>
        <w:t>, CSW62 p.21, HRC35/10 pp14</w:t>
      </w:r>
      <w:r w:rsidRPr="004210AF">
        <w:rPr>
          <w:sz w:val="22"/>
          <w:szCs w:val="22"/>
        </w:rPr>
        <w:t>)</w:t>
      </w:r>
      <w:r w:rsidR="004210AF" w:rsidRPr="004210AF">
        <w:rPr>
          <w:sz w:val="22"/>
          <w:szCs w:val="22"/>
        </w:rPr>
        <w:t>.</w:t>
      </w:r>
    </w:p>
    <w:p w14:paraId="3297363D" w14:textId="55286CD3" w:rsidR="004210AF" w:rsidRPr="004210AF" w:rsidRDefault="007E2BE6" w:rsidP="0040402F">
      <w:pPr>
        <w:pStyle w:val="SingleTxtG"/>
        <w:numPr>
          <w:ilvl w:val="0"/>
          <w:numId w:val="17"/>
        </w:numPr>
        <w:ind w:left="0" w:right="0"/>
        <w:rPr>
          <w:sz w:val="22"/>
          <w:szCs w:val="22"/>
          <w:lang w:val="en-US"/>
        </w:rPr>
      </w:pPr>
      <w:r>
        <w:rPr>
          <w:i/>
          <w:iCs/>
          <w:sz w:val="22"/>
          <w:szCs w:val="22"/>
        </w:rPr>
        <w:t xml:space="preserve">Recognizing </w:t>
      </w:r>
      <w:r>
        <w:rPr>
          <w:iCs/>
          <w:sz w:val="22"/>
          <w:szCs w:val="22"/>
        </w:rPr>
        <w:t>the importance of relevant International Labour Organization standards related to the realization of women’s rights to work and rights at work that are critical for women’s economic empowerment, and welcoming</w:t>
      </w:r>
      <w:r w:rsidR="004210AF">
        <w:rPr>
          <w:i/>
          <w:iCs/>
          <w:sz w:val="22"/>
          <w:szCs w:val="22"/>
        </w:rPr>
        <w:t xml:space="preserve"> </w:t>
      </w:r>
      <w:r w:rsidR="004210AF" w:rsidRPr="004210AF">
        <w:rPr>
          <w:iCs/>
          <w:sz w:val="22"/>
          <w:szCs w:val="22"/>
        </w:rPr>
        <w:t>the work undertaken by the International Labour Organization towards the development of a Convention and Recommendation concerning violence and harassment in the world of work (</w:t>
      </w:r>
      <w:r>
        <w:rPr>
          <w:iCs/>
          <w:sz w:val="22"/>
          <w:szCs w:val="22"/>
        </w:rPr>
        <w:t>from CSW61 p.3</w:t>
      </w:r>
      <w:r w:rsidR="004210AF" w:rsidRPr="004210AF">
        <w:rPr>
          <w:iCs/>
          <w:sz w:val="22"/>
          <w:szCs w:val="22"/>
        </w:rPr>
        <w:t>).</w:t>
      </w:r>
    </w:p>
    <w:p w14:paraId="6CB0CED0" w14:textId="553A8D59" w:rsidR="00484670" w:rsidRPr="004210AF" w:rsidRDefault="38FE22D8" w:rsidP="0040402F">
      <w:pPr>
        <w:pStyle w:val="SingleTxtG"/>
        <w:numPr>
          <w:ilvl w:val="0"/>
          <w:numId w:val="17"/>
        </w:numPr>
        <w:ind w:left="0" w:right="0"/>
        <w:rPr>
          <w:sz w:val="22"/>
          <w:szCs w:val="22"/>
          <w:lang w:val="en-US"/>
        </w:rPr>
      </w:pPr>
      <w:r w:rsidRPr="004210AF">
        <w:rPr>
          <w:i/>
          <w:iCs/>
          <w:sz w:val="22"/>
          <w:szCs w:val="22"/>
          <w:lang w:val="en-US"/>
        </w:rPr>
        <w:t>Reaffirming</w:t>
      </w:r>
      <w:r w:rsidRPr="004210AF">
        <w:rPr>
          <w:sz w:val="22"/>
          <w:szCs w:val="22"/>
          <w:lang w:val="en-US"/>
        </w:rPr>
        <w:t xml:space="preserve"> that the human rights of women and girls include their right to have control over and to decide freely and responsibly on matters related to their sexuality, including sexual and reproductive health, free of coercion, discrimination and violence, and that equal relationships in matters of sexual relations and reproduction, including full respect for the dignity, integrity and bodily autonomy of the person, require mutual respect, consent and shared responsibility for sexual </w:t>
      </w:r>
      <w:proofErr w:type="spellStart"/>
      <w:r w:rsidRPr="004210AF">
        <w:rPr>
          <w:sz w:val="22"/>
          <w:szCs w:val="22"/>
          <w:lang w:val="en-US"/>
        </w:rPr>
        <w:t>behaviour</w:t>
      </w:r>
      <w:proofErr w:type="spellEnd"/>
      <w:r w:rsidRPr="004210AF">
        <w:rPr>
          <w:sz w:val="22"/>
          <w:szCs w:val="22"/>
          <w:lang w:val="en-US"/>
        </w:rPr>
        <w:t xml:space="preserve"> and its consequences, (from HRC 35/18, PP16)</w:t>
      </w:r>
    </w:p>
    <w:p w14:paraId="55FAEDE8" w14:textId="56ABBED0" w:rsidR="00484670" w:rsidRPr="006C44F2" w:rsidRDefault="38FE22D8" w:rsidP="006C44F2">
      <w:pPr>
        <w:pStyle w:val="SingleTxtG"/>
        <w:numPr>
          <w:ilvl w:val="0"/>
          <w:numId w:val="17"/>
        </w:numPr>
        <w:ind w:left="0" w:right="0"/>
        <w:rPr>
          <w:sz w:val="22"/>
          <w:szCs w:val="22"/>
          <w:lang w:val="en-US"/>
        </w:rPr>
      </w:pPr>
      <w:r w:rsidRPr="006C44F2">
        <w:rPr>
          <w:i/>
          <w:iCs/>
          <w:sz w:val="22"/>
          <w:szCs w:val="22"/>
          <w:lang w:val="en-US"/>
        </w:rPr>
        <w:t>Recognizing</w:t>
      </w:r>
      <w:r w:rsidRPr="006C44F2">
        <w:rPr>
          <w:sz w:val="22"/>
          <w:szCs w:val="22"/>
          <w:lang w:val="en-US"/>
        </w:rPr>
        <w:t xml:space="preserve"> the major contributions made by civil society, including women</w:t>
      </w:r>
      <w:r w:rsidR="00723419">
        <w:rPr>
          <w:sz w:val="22"/>
          <w:szCs w:val="22"/>
          <w:lang w:val="en-US"/>
        </w:rPr>
        <w:t>’</w:t>
      </w:r>
      <w:r w:rsidRPr="006C44F2">
        <w:rPr>
          <w:sz w:val="22"/>
          <w:szCs w:val="22"/>
          <w:lang w:val="en-US"/>
        </w:rPr>
        <w:t>s and community-based organizations, feminist groups, women human rights defenders and girls and youth-led organizations, in promoting the economic empowerment of women and girls and the fulfillment of their right to decent work and education, and recognizing the importance of having an open, inclusive and transparent engagement with civil society in the implementation of measures on the empowerment of women and girls, (from HRC 35/18, PP17)</w:t>
      </w:r>
    </w:p>
    <w:p w14:paraId="75AD9722" w14:textId="1D6F2BBD" w:rsidR="5220209A" w:rsidRPr="006C44F2" w:rsidRDefault="5220209A" w:rsidP="006C44F2">
      <w:pPr>
        <w:pStyle w:val="SingleTxtG"/>
        <w:ind w:left="450" w:right="0"/>
        <w:rPr>
          <w:i/>
          <w:iCs/>
          <w:sz w:val="22"/>
          <w:szCs w:val="22"/>
          <w:lang w:val="en-US"/>
        </w:rPr>
      </w:pPr>
    </w:p>
    <w:p w14:paraId="47F46720" w14:textId="6FE29A6D" w:rsidR="5220209A" w:rsidRPr="006C44F2" w:rsidRDefault="38FE22D8" w:rsidP="006C44F2">
      <w:pPr>
        <w:pStyle w:val="SingleTxtG"/>
        <w:numPr>
          <w:ilvl w:val="0"/>
          <w:numId w:val="18"/>
        </w:numPr>
        <w:ind w:left="0" w:right="0" w:hanging="270"/>
        <w:rPr>
          <w:sz w:val="22"/>
          <w:szCs w:val="22"/>
          <w:lang w:val="en-US"/>
        </w:rPr>
      </w:pPr>
      <w:r w:rsidRPr="006C44F2">
        <w:rPr>
          <w:i/>
          <w:iCs/>
          <w:sz w:val="22"/>
          <w:szCs w:val="22"/>
        </w:rPr>
        <w:t>Calls upon</w:t>
      </w:r>
      <w:r w:rsidRPr="006C44F2">
        <w:rPr>
          <w:sz w:val="22"/>
          <w:szCs w:val="22"/>
        </w:rPr>
        <w:t xml:space="preserve"> States to: </w:t>
      </w:r>
    </w:p>
    <w:p w14:paraId="4156F97C" w14:textId="19EB844E" w:rsidR="5220209A" w:rsidRPr="006C44F2" w:rsidRDefault="38FE22D8" w:rsidP="006C44F2">
      <w:pPr>
        <w:pStyle w:val="SingleTxtG"/>
        <w:numPr>
          <w:ilvl w:val="1"/>
          <w:numId w:val="18"/>
        </w:numPr>
        <w:ind w:left="360" w:right="0"/>
        <w:rPr>
          <w:sz w:val="22"/>
          <w:szCs w:val="22"/>
        </w:rPr>
      </w:pPr>
      <w:r w:rsidRPr="006C44F2">
        <w:rPr>
          <w:sz w:val="22"/>
          <w:szCs w:val="22"/>
        </w:rPr>
        <w:t>Ratify or accede to the Convention on the Elimination of All Forms of Discrimination against Women and the Optional Protocol thereto as a matter of particular priority.</w:t>
      </w:r>
    </w:p>
    <w:p w14:paraId="2DC2679A" w14:textId="4564572A" w:rsidR="5220209A" w:rsidRPr="006C44F2" w:rsidRDefault="38FE22D8" w:rsidP="006C44F2">
      <w:pPr>
        <w:pStyle w:val="SingleTxtG"/>
        <w:numPr>
          <w:ilvl w:val="1"/>
          <w:numId w:val="18"/>
        </w:numPr>
        <w:ind w:left="360" w:right="0"/>
        <w:rPr>
          <w:sz w:val="22"/>
          <w:szCs w:val="22"/>
        </w:rPr>
      </w:pPr>
      <w:r w:rsidRPr="006C44F2">
        <w:rPr>
          <w:sz w:val="22"/>
          <w:szCs w:val="22"/>
        </w:rPr>
        <w:t>Limit the extent of reservations and withdraw those contrary to the object and purpose of the Convention.</w:t>
      </w:r>
    </w:p>
    <w:p w14:paraId="01069B08" w14:textId="0BDE22C4" w:rsidR="5220209A" w:rsidRPr="006C44F2" w:rsidRDefault="38FE22D8" w:rsidP="006C44F2">
      <w:pPr>
        <w:pStyle w:val="SingleTxtG"/>
        <w:numPr>
          <w:ilvl w:val="1"/>
          <w:numId w:val="18"/>
        </w:numPr>
        <w:ind w:left="360" w:right="0"/>
        <w:rPr>
          <w:sz w:val="22"/>
          <w:szCs w:val="22"/>
        </w:rPr>
      </w:pPr>
      <w:r w:rsidRPr="006C44F2">
        <w:rPr>
          <w:sz w:val="22"/>
          <w:szCs w:val="22"/>
        </w:rPr>
        <w:t>Implement its provisions through appropriate legislation, regulation, policies and programmes.</w:t>
      </w:r>
    </w:p>
    <w:p w14:paraId="47CD257F" w14:textId="6930D925" w:rsidR="5220209A" w:rsidRPr="007F7CEE" w:rsidRDefault="38FE22D8" w:rsidP="006C44F2">
      <w:pPr>
        <w:pStyle w:val="SingleTxtG"/>
        <w:numPr>
          <w:ilvl w:val="1"/>
          <w:numId w:val="18"/>
        </w:numPr>
        <w:ind w:left="360" w:right="0"/>
        <w:rPr>
          <w:sz w:val="22"/>
          <w:szCs w:val="22"/>
        </w:rPr>
      </w:pPr>
      <w:r w:rsidRPr="006C44F2">
        <w:rPr>
          <w:sz w:val="22"/>
          <w:szCs w:val="22"/>
        </w:rPr>
        <w:t>Take into account the recommendations related to the realization of women</w:t>
      </w:r>
      <w:r w:rsidR="00723419">
        <w:rPr>
          <w:sz w:val="22"/>
          <w:szCs w:val="22"/>
        </w:rPr>
        <w:t>’</w:t>
      </w:r>
      <w:r w:rsidRPr="006C44F2">
        <w:rPr>
          <w:sz w:val="22"/>
          <w:szCs w:val="22"/>
        </w:rPr>
        <w:t>s and girls</w:t>
      </w:r>
      <w:r w:rsidR="00723419">
        <w:rPr>
          <w:sz w:val="22"/>
          <w:szCs w:val="22"/>
        </w:rPr>
        <w:t>’</w:t>
      </w:r>
      <w:r w:rsidRPr="006C44F2">
        <w:rPr>
          <w:sz w:val="22"/>
          <w:szCs w:val="22"/>
        </w:rPr>
        <w:t xml:space="preserve"> human rights made by the Committee on the Elimination of Discrimination against Women and other human rights treaty bodies, </w:t>
      </w:r>
      <w:r w:rsidRPr="006C44F2">
        <w:rPr>
          <w:sz w:val="22"/>
          <w:szCs w:val="22"/>
          <w:lang w:val="en-US"/>
        </w:rPr>
        <w:t>(from HRC 35/18, OP1)</w:t>
      </w:r>
    </w:p>
    <w:p w14:paraId="3519FD1A" w14:textId="77777777" w:rsidR="007F7CEE" w:rsidRPr="007F7CEE" w:rsidRDefault="007F7CEE" w:rsidP="007F7CEE">
      <w:pPr>
        <w:pStyle w:val="SingleTxtG"/>
        <w:spacing w:after="0" w:line="240" w:lineRule="auto"/>
        <w:ind w:left="360" w:right="0"/>
        <w:rPr>
          <w:sz w:val="22"/>
          <w:szCs w:val="22"/>
        </w:rPr>
      </w:pPr>
    </w:p>
    <w:p w14:paraId="5D3FF76A" w14:textId="2F290D3D" w:rsidR="5220209A" w:rsidRPr="007F7CEE" w:rsidRDefault="5220209A" w:rsidP="006C44F2">
      <w:pPr>
        <w:pStyle w:val="SingleTxtG"/>
        <w:numPr>
          <w:ilvl w:val="0"/>
          <w:numId w:val="18"/>
        </w:numPr>
        <w:ind w:left="0" w:right="0" w:hanging="270"/>
        <w:rPr>
          <w:sz w:val="22"/>
          <w:szCs w:val="22"/>
        </w:rPr>
      </w:pPr>
      <w:r w:rsidRPr="006C44F2">
        <w:rPr>
          <w:i/>
          <w:iCs/>
          <w:sz w:val="22"/>
          <w:szCs w:val="22"/>
          <w:lang w:val="en-US"/>
        </w:rPr>
        <w:t>Welcomes</w:t>
      </w:r>
      <w:r w:rsidRPr="006C44F2">
        <w:rPr>
          <w:sz w:val="22"/>
          <w:szCs w:val="22"/>
          <w:lang w:val="en-US"/>
        </w:rPr>
        <w:t xml:space="preserve"> the work undertaken by the Working Group on the issue of discrimination against women in law and in practice</w:t>
      </w:r>
      <w:r w:rsidRPr="006C44F2">
        <w:rPr>
          <w:rStyle w:val="FootnoteReference"/>
          <w:sz w:val="22"/>
          <w:szCs w:val="22"/>
          <w:lang w:val="en-US"/>
        </w:rPr>
        <w:footnoteReference w:id="6"/>
      </w:r>
      <w:r w:rsidRPr="006C44F2">
        <w:rPr>
          <w:sz w:val="22"/>
          <w:szCs w:val="22"/>
          <w:lang w:val="en-US"/>
        </w:rPr>
        <w:t>, including its report</w:t>
      </w:r>
      <w:r w:rsidRPr="006C44F2">
        <w:rPr>
          <w:rStyle w:val="FootnoteReference"/>
          <w:sz w:val="22"/>
          <w:szCs w:val="22"/>
          <w:lang w:val="en-US"/>
        </w:rPr>
        <w:footnoteReference w:id="7"/>
      </w:r>
      <w:r w:rsidRPr="006C44F2">
        <w:rPr>
          <w:sz w:val="22"/>
          <w:szCs w:val="22"/>
          <w:lang w:val="en-US"/>
        </w:rPr>
        <w:t xml:space="preserve">, and calls upon States to take steps to promote reforms and implement legal frameworks and policies directed to achieving gender equality and the prevention and elimination of all forms of discrimination against women and girls, taking into consideration the good practices identified therein and the recommendations of the Working Group, as well as those issued by the Special Rapporteur on </w:t>
      </w:r>
      <w:r w:rsidR="002574FD">
        <w:rPr>
          <w:sz w:val="22"/>
          <w:szCs w:val="22"/>
          <w:lang w:val="en-US"/>
        </w:rPr>
        <w:t>v</w:t>
      </w:r>
      <w:r w:rsidRPr="006C44F2">
        <w:rPr>
          <w:sz w:val="22"/>
          <w:szCs w:val="22"/>
          <w:lang w:val="en-US"/>
        </w:rPr>
        <w:t>iolence against women, its causes and consequences,</w:t>
      </w:r>
      <w:r w:rsidRPr="006C44F2">
        <w:rPr>
          <w:sz w:val="22"/>
          <w:szCs w:val="22"/>
        </w:rPr>
        <w:t xml:space="preserve"> other States during the Universal Periodic Review and other relevant human rights mechanisms, with a view to ensuring the realization of women</w:t>
      </w:r>
      <w:r w:rsidR="00723419">
        <w:rPr>
          <w:sz w:val="22"/>
          <w:szCs w:val="22"/>
        </w:rPr>
        <w:t>’</w:t>
      </w:r>
      <w:r w:rsidRPr="006C44F2">
        <w:rPr>
          <w:sz w:val="22"/>
          <w:szCs w:val="22"/>
        </w:rPr>
        <w:t>s and girls</w:t>
      </w:r>
      <w:r w:rsidR="00723419">
        <w:rPr>
          <w:sz w:val="22"/>
          <w:szCs w:val="22"/>
        </w:rPr>
        <w:t>’</w:t>
      </w:r>
      <w:r w:rsidRPr="006C44F2">
        <w:rPr>
          <w:sz w:val="22"/>
          <w:szCs w:val="22"/>
        </w:rPr>
        <w:t xml:space="preserve"> human rights </w:t>
      </w:r>
      <w:r w:rsidRPr="006C44F2">
        <w:rPr>
          <w:sz w:val="22"/>
          <w:szCs w:val="22"/>
          <w:lang w:val="en-US"/>
        </w:rPr>
        <w:t>(from HRC 35/18, OP1, OP2)</w:t>
      </w:r>
    </w:p>
    <w:p w14:paraId="5F93A9DF" w14:textId="77777777" w:rsidR="007F7CEE" w:rsidRPr="006C44F2" w:rsidRDefault="007F7CEE" w:rsidP="007F7CEE">
      <w:pPr>
        <w:pStyle w:val="SingleTxtG"/>
        <w:spacing w:after="0" w:line="240" w:lineRule="auto"/>
        <w:ind w:left="0" w:right="0"/>
        <w:rPr>
          <w:sz w:val="22"/>
          <w:szCs w:val="22"/>
        </w:rPr>
      </w:pPr>
    </w:p>
    <w:p w14:paraId="04E0C255" w14:textId="458D1684" w:rsidR="5220209A" w:rsidRPr="006C44F2" w:rsidRDefault="38FE22D8" w:rsidP="006C44F2">
      <w:pPr>
        <w:pStyle w:val="SingleTxtG"/>
        <w:numPr>
          <w:ilvl w:val="0"/>
          <w:numId w:val="18"/>
        </w:numPr>
        <w:ind w:left="0" w:right="0" w:hanging="270"/>
        <w:rPr>
          <w:sz w:val="22"/>
          <w:szCs w:val="22"/>
        </w:rPr>
      </w:pPr>
      <w:r w:rsidRPr="006C44F2">
        <w:rPr>
          <w:i/>
          <w:iCs/>
          <w:sz w:val="22"/>
          <w:szCs w:val="22"/>
        </w:rPr>
        <w:t>Calls upon</w:t>
      </w:r>
      <w:r w:rsidRPr="006C44F2">
        <w:rPr>
          <w:sz w:val="22"/>
          <w:szCs w:val="22"/>
        </w:rPr>
        <w:t xml:space="preserve"> States to:</w:t>
      </w:r>
    </w:p>
    <w:p w14:paraId="1A88F0F1" w14:textId="157A2FC8" w:rsidR="5220209A" w:rsidRPr="006C44F2" w:rsidRDefault="38FE22D8" w:rsidP="006C44F2">
      <w:pPr>
        <w:pStyle w:val="SingleTxtG"/>
        <w:numPr>
          <w:ilvl w:val="0"/>
          <w:numId w:val="19"/>
        </w:numPr>
        <w:ind w:left="360" w:right="0"/>
        <w:rPr>
          <w:sz w:val="22"/>
          <w:szCs w:val="22"/>
        </w:rPr>
      </w:pPr>
      <w:r w:rsidRPr="006C44F2">
        <w:rPr>
          <w:sz w:val="22"/>
          <w:szCs w:val="22"/>
        </w:rPr>
        <w:t>Repeal all laws that exclusively or disproportionately criminalize women</w:t>
      </w:r>
      <w:r w:rsidR="00723419">
        <w:rPr>
          <w:sz w:val="22"/>
          <w:szCs w:val="22"/>
        </w:rPr>
        <w:t>’</w:t>
      </w:r>
      <w:r w:rsidR="002574FD">
        <w:rPr>
          <w:sz w:val="22"/>
          <w:szCs w:val="22"/>
        </w:rPr>
        <w:t>s</w:t>
      </w:r>
      <w:r w:rsidRPr="006C44F2">
        <w:rPr>
          <w:sz w:val="22"/>
          <w:szCs w:val="22"/>
        </w:rPr>
        <w:t xml:space="preserve"> and girls</w:t>
      </w:r>
      <w:r w:rsidR="00723419">
        <w:rPr>
          <w:sz w:val="22"/>
          <w:szCs w:val="22"/>
        </w:rPr>
        <w:t>’</w:t>
      </w:r>
      <w:r w:rsidRPr="006C44F2">
        <w:rPr>
          <w:sz w:val="22"/>
          <w:szCs w:val="22"/>
        </w:rPr>
        <w:t xml:space="preserve"> actions or behaviours, and laws and policies that discriminate against them, based on any grounds, including any custom, tradition or cultural or religious consideration contrary to the obligation to eliminate discrimination against women and girls;</w:t>
      </w:r>
    </w:p>
    <w:p w14:paraId="2F168677" w14:textId="1B9A842C" w:rsidR="5220209A" w:rsidRPr="006C44F2" w:rsidRDefault="38FE22D8" w:rsidP="006C44F2">
      <w:pPr>
        <w:pStyle w:val="SingleTxtG"/>
        <w:numPr>
          <w:ilvl w:val="0"/>
          <w:numId w:val="19"/>
        </w:numPr>
        <w:ind w:left="360" w:right="0"/>
        <w:rPr>
          <w:sz w:val="22"/>
          <w:szCs w:val="22"/>
        </w:rPr>
      </w:pPr>
      <w:r w:rsidRPr="006C44F2">
        <w:rPr>
          <w:sz w:val="22"/>
          <w:szCs w:val="22"/>
        </w:rPr>
        <w:lastRenderedPageBreak/>
        <w:t>Ensure that international obligations on gender equality and non-discrimination are incorporated at all levels of legal frameworks, including in relation to women</w:t>
      </w:r>
      <w:r w:rsidR="00723419">
        <w:rPr>
          <w:sz w:val="22"/>
          <w:szCs w:val="22"/>
        </w:rPr>
        <w:t>’</w:t>
      </w:r>
      <w:r w:rsidRPr="006C44F2">
        <w:rPr>
          <w:sz w:val="22"/>
          <w:szCs w:val="22"/>
        </w:rPr>
        <w:t>s and girls</w:t>
      </w:r>
      <w:r w:rsidR="00723419">
        <w:rPr>
          <w:sz w:val="22"/>
          <w:szCs w:val="22"/>
        </w:rPr>
        <w:t>’</w:t>
      </w:r>
      <w:r w:rsidRPr="006C44F2">
        <w:rPr>
          <w:sz w:val="22"/>
          <w:szCs w:val="22"/>
        </w:rPr>
        <w:t xml:space="preserve"> access to justice, redress and affective remedies;</w:t>
      </w:r>
    </w:p>
    <w:p w14:paraId="5F91B4FE" w14:textId="300DD57F" w:rsidR="5220209A" w:rsidRPr="006C44F2" w:rsidRDefault="38FE22D8" w:rsidP="006C44F2">
      <w:pPr>
        <w:pStyle w:val="SingleTxtG"/>
        <w:numPr>
          <w:ilvl w:val="0"/>
          <w:numId w:val="19"/>
        </w:numPr>
        <w:ind w:left="360" w:right="0"/>
        <w:rPr>
          <w:sz w:val="22"/>
          <w:szCs w:val="22"/>
          <w:lang w:val="en-US"/>
        </w:rPr>
      </w:pPr>
      <w:r w:rsidRPr="006C44F2">
        <w:rPr>
          <w:sz w:val="22"/>
          <w:szCs w:val="22"/>
          <w:lang w:val="en-US"/>
        </w:rPr>
        <w:t>Consider reviewing all proposed and existing legislation in line with international human rights obligations and a gender-responsive perspective, involving independent experts, women human rights defenders, women</w:t>
      </w:r>
      <w:r w:rsidR="00723419">
        <w:rPr>
          <w:sz w:val="22"/>
          <w:szCs w:val="22"/>
          <w:lang w:val="en-US"/>
        </w:rPr>
        <w:t>’</w:t>
      </w:r>
      <w:r w:rsidRPr="006C44F2">
        <w:rPr>
          <w:sz w:val="22"/>
          <w:szCs w:val="22"/>
          <w:lang w:val="en-US"/>
        </w:rPr>
        <w:t>s and girls</w:t>
      </w:r>
      <w:r w:rsidR="00723419">
        <w:rPr>
          <w:sz w:val="22"/>
          <w:szCs w:val="22"/>
          <w:lang w:val="en-US"/>
        </w:rPr>
        <w:t>’</w:t>
      </w:r>
      <w:r w:rsidRPr="006C44F2">
        <w:rPr>
          <w:sz w:val="22"/>
          <w:szCs w:val="22"/>
          <w:lang w:val="en-US"/>
        </w:rPr>
        <w:t xml:space="preserve"> community-based organizations, feminist groups and youth-led organizations, and other relevant stakeholders;</w:t>
      </w:r>
    </w:p>
    <w:p w14:paraId="6C9B39F7" w14:textId="1EFE0A3F" w:rsidR="5220209A" w:rsidRPr="007F7CEE" w:rsidRDefault="38FE22D8" w:rsidP="006C44F2">
      <w:pPr>
        <w:pStyle w:val="SingleTxtG"/>
        <w:numPr>
          <w:ilvl w:val="0"/>
          <w:numId w:val="19"/>
        </w:numPr>
        <w:ind w:left="360" w:right="0"/>
        <w:rPr>
          <w:sz w:val="22"/>
          <w:szCs w:val="22"/>
        </w:rPr>
      </w:pPr>
      <w:r w:rsidRPr="006C44F2">
        <w:rPr>
          <w:sz w:val="22"/>
          <w:szCs w:val="22"/>
          <w:lang w:val="en-US"/>
        </w:rPr>
        <w:t xml:space="preserve">Promote legislation, regulation, policies and </w:t>
      </w:r>
      <w:proofErr w:type="spellStart"/>
      <w:r w:rsidRPr="006C44F2">
        <w:rPr>
          <w:sz w:val="22"/>
          <w:szCs w:val="22"/>
          <w:lang w:val="en-US"/>
        </w:rPr>
        <w:t>p</w:t>
      </w:r>
      <w:r w:rsidR="002574FD">
        <w:rPr>
          <w:sz w:val="22"/>
          <w:szCs w:val="22"/>
          <w:lang w:val="en-US"/>
        </w:rPr>
        <w:t>rogrammes</w:t>
      </w:r>
      <w:proofErr w:type="spellEnd"/>
      <w:r w:rsidR="002574FD">
        <w:rPr>
          <w:sz w:val="22"/>
          <w:szCs w:val="22"/>
          <w:lang w:val="en-US"/>
        </w:rPr>
        <w:t xml:space="preserve"> that facilitate women</w:t>
      </w:r>
      <w:r w:rsidR="00723419">
        <w:rPr>
          <w:sz w:val="22"/>
          <w:szCs w:val="22"/>
          <w:lang w:val="en-US"/>
        </w:rPr>
        <w:t>’</w:t>
      </w:r>
      <w:r w:rsidRPr="006C44F2">
        <w:rPr>
          <w:sz w:val="22"/>
          <w:szCs w:val="22"/>
          <w:lang w:val="en-US"/>
        </w:rPr>
        <w:t>s and girls</w:t>
      </w:r>
      <w:r w:rsidR="00723419">
        <w:rPr>
          <w:sz w:val="22"/>
          <w:szCs w:val="22"/>
          <w:lang w:val="en-US"/>
        </w:rPr>
        <w:t>’</w:t>
      </w:r>
      <w:r w:rsidRPr="006C44F2">
        <w:rPr>
          <w:sz w:val="22"/>
          <w:szCs w:val="22"/>
          <w:lang w:val="en-US"/>
        </w:rPr>
        <w:t xml:space="preserve"> economic empowerment and prohibit discrimination, including in the world of work and in education, such as discrimination against women </w:t>
      </w:r>
      <w:r w:rsidR="002574FD">
        <w:rPr>
          <w:sz w:val="22"/>
          <w:szCs w:val="22"/>
          <w:lang w:val="en-US"/>
        </w:rPr>
        <w:t xml:space="preserve">and girls </w:t>
      </w:r>
      <w:r w:rsidRPr="006C44F2">
        <w:rPr>
          <w:sz w:val="22"/>
          <w:szCs w:val="22"/>
          <w:lang w:val="en-US"/>
        </w:rPr>
        <w:t>based on pregnancy, maternity, marital status, age and gender, as well as violence and harassment against them, including sexual harassment and harassment occurring in digital and online spaces; (from HRC 35/18, OP3; HRC 35/10 PO9; CSW 62 p.46, CSW61 p.40 and HRC 32/44 p.42 and 78)</w:t>
      </w:r>
    </w:p>
    <w:p w14:paraId="11C6DE2E" w14:textId="77777777" w:rsidR="007F7CEE" w:rsidRPr="006C44F2" w:rsidRDefault="007F7CEE" w:rsidP="007F7CEE">
      <w:pPr>
        <w:pStyle w:val="SingleTxtG"/>
        <w:spacing w:after="0" w:line="240" w:lineRule="auto"/>
        <w:ind w:left="360" w:right="0"/>
        <w:rPr>
          <w:sz w:val="22"/>
          <w:szCs w:val="22"/>
        </w:rPr>
      </w:pPr>
    </w:p>
    <w:p w14:paraId="34516C29" w14:textId="3E573CA0" w:rsidR="009707E6" w:rsidRPr="006C44F2" w:rsidRDefault="38FE22D8" w:rsidP="006C44F2">
      <w:pPr>
        <w:pStyle w:val="SingleTxtG"/>
        <w:numPr>
          <w:ilvl w:val="0"/>
          <w:numId w:val="18"/>
        </w:numPr>
        <w:ind w:left="0" w:right="0" w:hanging="270"/>
        <w:rPr>
          <w:sz w:val="22"/>
          <w:szCs w:val="22"/>
          <w:lang w:val="en-US"/>
        </w:rPr>
      </w:pPr>
      <w:r w:rsidRPr="006C44F2">
        <w:rPr>
          <w:i/>
          <w:iCs/>
          <w:sz w:val="22"/>
          <w:szCs w:val="22"/>
          <w:lang w:val="en-US"/>
        </w:rPr>
        <w:t xml:space="preserve">Encourages </w:t>
      </w:r>
      <w:r w:rsidRPr="006C44F2">
        <w:rPr>
          <w:sz w:val="22"/>
          <w:szCs w:val="22"/>
          <w:lang w:val="en-US"/>
        </w:rPr>
        <w:t>States to:</w:t>
      </w:r>
    </w:p>
    <w:p w14:paraId="3BA52610" w14:textId="4744BB58" w:rsidR="5220209A" w:rsidRPr="006C44F2" w:rsidRDefault="38FE22D8" w:rsidP="006C44F2">
      <w:pPr>
        <w:pStyle w:val="SingleTxtG"/>
        <w:numPr>
          <w:ilvl w:val="0"/>
          <w:numId w:val="6"/>
        </w:numPr>
        <w:ind w:left="360" w:right="0"/>
        <w:rPr>
          <w:sz w:val="22"/>
          <w:szCs w:val="22"/>
          <w:lang w:val="en-US"/>
        </w:rPr>
      </w:pPr>
      <w:r w:rsidRPr="006C44F2">
        <w:rPr>
          <w:sz w:val="22"/>
          <w:szCs w:val="22"/>
          <w:lang w:val="en-US"/>
        </w:rPr>
        <w:t>Guarantee women</w:t>
      </w:r>
      <w:r w:rsidR="00723419">
        <w:rPr>
          <w:sz w:val="22"/>
          <w:szCs w:val="22"/>
          <w:lang w:val="en-US"/>
        </w:rPr>
        <w:t>’</w:t>
      </w:r>
      <w:r w:rsidR="00E023F5">
        <w:rPr>
          <w:sz w:val="22"/>
          <w:szCs w:val="22"/>
          <w:lang w:val="en-US"/>
        </w:rPr>
        <w:t>s</w:t>
      </w:r>
      <w:r w:rsidRPr="006C44F2">
        <w:rPr>
          <w:sz w:val="22"/>
          <w:szCs w:val="22"/>
          <w:lang w:val="en-US"/>
        </w:rPr>
        <w:t xml:space="preserve"> and girls</w:t>
      </w:r>
      <w:r w:rsidR="00723419">
        <w:rPr>
          <w:sz w:val="22"/>
          <w:szCs w:val="22"/>
          <w:lang w:val="en-US"/>
        </w:rPr>
        <w:t>’</w:t>
      </w:r>
      <w:r w:rsidRPr="006C44F2">
        <w:rPr>
          <w:sz w:val="22"/>
          <w:szCs w:val="22"/>
          <w:lang w:val="en-US"/>
        </w:rPr>
        <w:t xml:space="preserve"> equal enjoyment of economic, social, cultural, civil and </w:t>
      </w:r>
      <w:r w:rsidR="006C44F2" w:rsidRPr="006C44F2">
        <w:rPr>
          <w:sz w:val="22"/>
          <w:szCs w:val="22"/>
          <w:lang w:val="en-US"/>
        </w:rPr>
        <w:t>political rights</w:t>
      </w:r>
      <w:r w:rsidRPr="006C44F2">
        <w:rPr>
          <w:sz w:val="22"/>
          <w:szCs w:val="22"/>
          <w:lang w:val="en-US"/>
        </w:rPr>
        <w:t>, to take all appropriate steps to eliminate discrimination by any actors, State or non-State,</w:t>
      </w:r>
    </w:p>
    <w:p w14:paraId="2FA781F7" w14:textId="07D7BC11" w:rsidR="687879B1" w:rsidRPr="006C44F2" w:rsidRDefault="38FE22D8" w:rsidP="006C44F2">
      <w:pPr>
        <w:pStyle w:val="SingleTxtG"/>
        <w:numPr>
          <w:ilvl w:val="0"/>
          <w:numId w:val="6"/>
        </w:numPr>
        <w:ind w:left="360" w:right="0"/>
        <w:rPr>
          <w:sz w:val="22"/>
          <w:szCs w:val="22"/>
          <w:lang w:val="en-US"/>
        </w:rPr>
      </w:pPr>
      <w:r w:rsidRPr="006C44F2">
        <w:rPr>
          <w:sz w:val="22"/>
          <w:szCs w:val="22"/>
          <w:lang w:val="en-US"/>
        </w:rPr>
        <w:t>Remove barriers, whether political, legal, cultural, economic, institutional or religious, preventing women</w:t>
      </w:r>
      <w:r w:rsidR="00723419">
        <w:rPr>
          <w:sz w:val="22"/>
          <w:szCs w:val="22"/>
          <w:lang w:val="en-US"/>
        </w:rPr>
        <w:t>’</w:t>
      </w:r>
      <w:r w:rsidRPr="006C44F2">
        <w:rPr>
          <w:sz w:val="22"/>
          <w:szCs w:val="22"/>
          <w:lang w:val="en-US"/>
        </w:rPr>
        <w:t>s full, equal and effective participation in all fields and in leadership at all levels of decision making in the public and private sectors, and in publ</w:t>
      </w:r>
      <w:r w:rsidR="00E023F5">
        <w:rPr>
          <w:sz w:val="22"/>
          <w:szCs w:val="22"/>
          <w:lang w:val="en-US"/>
        </w:rPr>
        <w:t>ic, social and political life,</w:t>
      </w:r>
    </w:p>
    <w:p w14:paraId="54B7CB3D" w14:textId="3A759661" w:rsidR="687879B1" w:rsidRPr="006C44F2" w:rsidRDefault="38FE22D8" w:rsidP="006C44F2">
      <w:pPr>
        <w:pStyle w:val="SingleTxtG"/>
        <w:numPr>
          <w:ilvl w:val="0"/>
          <w:numId w:val="6"/>
        </w:numPr>
        <w:ind w:left="360" w:right="0"/>
        <w:rPr>
          <w:sz w:val="22"/>
          <w:szCs w:val="22"/>
          <w:lang w:val="en-US"/>
        </w:rPr>
      </w:pPr>
      <w:r w:rsidRPr="006C44F2">
        <w:rPr>
          <w:sz w:val="22"/>
          <w:szCs w:val="22"/>
          <w:lang w:val="en-US"/>
        </w:rPr>
        <w:t xml:space="preserve">Modify social and cultural patterns of conduct with a view to preventing and eliminating in the public and private spheres patriarchal and gender stereotypes, negative social norms, attitudes and </w:t>
      </w:r>
      <w:proofErr w:type="spellStart"/>
      <w:r w:rsidRPr="006C44F2">
        <w:rPr>
          <w:sz w:val="22"/>
          <w:szCs w:val="22"/>
          <w:lang w:val="en-US"/>
        </w:rPr>
        <w:t>behaviours</w:t>
      </w:r>
      <w:proofErr w:type="spellEnd"/>
      <w:r w:rsidRPr="006C44F2">
        <w:rPr>
          <w:sz w:val="22"/>
          <w:szCs w:val="22"/>
          <w:lang w:val="en-US"/>
        </w:rPr>
        <w:t>, and unequal power relations that view women and girls as subordinate to men and boys and that underlie and perpetuate discrimination and v</w:t>
      </w:r>
      <w:r w:rsidR="00E023F5">
        <w:rPr>
          <w:sz w:val="22"/>
          <w:szCs w:val="22"/>
          <w:lang w:val="en-US"/>
        </w:rPr>
        <w:t>iolence against women and girls,</w:t>
      </w:r>
    </w:p>
    <w:p w14:paraId="6706FB09" w14:textId="694A67EC" w:rsidR="687879B1" w:rsidRPr="006C44F2" w:rsidRDefault="38FE22D8" w:rsidP="006C44F2">
      <w:pPr>
        <w:pStyle w:val="SingleTxtG"/>
        <w:numPr>
          <w:ilvl w:val="0"/>
          <w:numId w:val="6"/>
        </w:numPr>
        <w:ind w:left="360" w:right="0"/>
        <w:rPr>
          <w:sz w:val="22"/>
          <w:szCs w:val="22"/>
          <w:lang w:val="en-US"/>
        </w:rPr>
      </w:pPr>
      <w:r w:rsidRPr="006C44F2">
        <w:rPr>
          <w:sz w:val="22"/>
          <w:szCs w:val="22"/>
          <w:lang w:val="en-US"/>
        </w:rPr>
        <w:t>Support substantive equality within families through long-term awareness-raising initiatives, especially education and public awareness, including through the media and online, incorporation of curricula on women</w:t>
      </w:r>
      <w:r w:rsidR="00723419">
        <w:rPr>
          <w:sz w:val="22"/>
          <w:szCs w:val="22"/>
          <w:lang w:val="en-US"/>
        </w:rPr>
        <w:t>’</w:t>
      </w:r>
      <w:r w:rsidRPr="006C44F2">
        <w:rPr>
          <w:sz w:val="22"/>
          <w:szCs w:val="22"/>
          <w:lang w:val="en-US"/>
        </w:rPr>
        <w:t xml:space="preserve">s </w:t>
      </w:r>
      <w:r w:rsidR="00E023F5">
        <w:rPr>
          <w:sz w:val="22"/>
          <w:szCs w:val="22"/>
          <w:lang w:val="en-US"/>
        </w:rPr>
        <w:t>and girls</w:t>
      </w:r>
      <w:r w:rsidR="00723419">
        <w:rPr>
          <w:sz w:val="22"/>
          <w:szCs w:val="22"/>
          <w:lang w:val="en-US"/>
        </w:rPr>
        <w:t>’</w:t>
      </w:r>
      <w:r w:rsidR="00E023F5">
        <w:rPr>
          <w:sz w:val="22"/>
          <w:szCs w:val="22"/>
          <w:lang w:val="en-US"/>
        </w:rPr>
        <w:t xml:space="preserve"> </w:t>
      </w:r>
      <w:r w:rsidRPr="006C44F2">
        <w:rPr>
          <w:sz w:val="22"/>
          <w:szCs w:val="22"/>
          <w:lang w:val="en-US"/>
        </w:rPr>
        <w:t>rights into teacher training courses, including evidence-based, comprehensive sexuality education and gen</w:t>
      </w:r>
      <w:r w:rsidR="00E023F5">
        <w:rPr>
          <w:sz w:val="22"/>
          <w:szCs w:val="22"/>
          <w:lang w:val="en-US"/>
        </w:rPr>
        <w:t>der-based violence prevention,</w:t>
      </w:r>
    </w:p>
    <w:p w14:paraId="38C36D8A" w14:textId="05B7C713" w:rsidR="5A30BE08" w:rsidRPr="006C44F2" w:rsidRDefault="38FE22D8" w:rsidP="006C44F2">
      <w:pPr>
        <w:pStyle w:val="SingleTxtG"/>
        <w:numPr>
          <w:ilvl w:val="0"/>
          <w:numId w:val="6"/>
        </w:numPr>
        <w:ind w:left="360" w:right="0"/>
        <w:rPr>
          <w:sz w:val="22"/>
          <w:szCs w:val="22"/>
          <w:lang w:val="en-US"/>
        </w:rPr>
      </w:pPr>
      <w:r w:rsidRPr="006C44F2">
        <w:rPr>
          <w:sz w:val="22"/>
          <w:szCs w:val="22"/>
          <w:lang w:val="en-US"/>
        </w:rPr>
        <w:t xml:space="preserve">Provide training on a rights-based gender analysis for duty holders in all spheres and meaningful collaboration with civil society, </w:t>
      </w:r>
      <w:r w:rsidRPr="006C44F2">
        <w:rPr>
          <w:sz w:val="22"/>
          <w:szCs w:val="22"/>
        </w:rPr>
        <w:t>including women</w:t>
      </w:r>
      <w:r w:rsidR="00723419">
        <w:rPr>
          <w:sz w:val="22"/>
          <w:szCs w:val="22"/>
        </w:rPr>
        <w:t>’</w:t>
      </w:r>
      <w:r w:rsidRPr="006C44F2">
        <w:rPr>
          <w:sz w:val="22"/>
          <w:szCs w:val="22"/>
        </w:rPr>
        <w:t>s and community-based organizations, feminist groups, women human rights defenders and gir</w:t>
      </w:r>
      <w:r w:rsidR="00E023F5">
        <w:rPr>
          <w:sz w:val="22"/>
          <w:szCs w:val="22"/>
        </w:rPr>
        <w:t>ls</w:t>
      </w:r>
      <w:r w:rsidR="00723419">
        <w:rPr>
          <w:sz w:val="22"/>
          <w:szCs w:val="22"/>
        </w:rPr>
        <w:t>’</w:t>
      </w:r>
      <w:r w:rsidR="00E023F5">
        <w:rPr>
          <w:sz w:val="22"/>
          <w:szCs w:val="22"/>
        </w:rPr>
        <w:t xml:space="preserve"> and youth-led organizations,</w:t>
      </w:r>
    </w:p>
    <w:p w14:paraId="607A79F4" w14:textId="21A488FD" w:rsidR="5A30BE08" w:rsidRPr="007F7CEE" w:rsidRDefault="38FE22D8" w:rsidP="006C44F2">
      <w:pPr>
        <w:pStyle w:val="SingleTxtG"/>
        <w:numPr>
          <w:ilvl w:val="0"/>
          <w:numId w:val="6"/>
        </w:numPr>
        <w:ind w:left="360" w:right="0"/>
        <w:rPr>
          <w:sz w:val="22"/>
          <w:szCs w:val="22"/>
          <w:lang w:val="en-US"/>
        </w:rPr>
      </w:pPr>
      <w:r w:rsidRPr="006C44F2">
        <w:rPr>
          <w:sz w:val="22"/>
          <w:szCs w:val="22"/>
        </w:rPr>
        <w:t>Support tripartite collaboration among Governments, employers and women workers and their organizations, including trade unions or other representative organizations, to prevent and remove barriers to gender equality and the empowerment of women in the world of work, (</w:t>
      </w:r>
      <w:r w:rsidR="00E023F5" w:rsidRPr="006C44F2">
        <w:rPr>
          <w:sz w:val="22"/>
          <w:szCs w:val="22"/>
          <w:lang w:val="en-US"/>
        </w:rPr>
        <w:t>from HRC 35/18, OP</w:t>
      </w:r>
      <w:r w:rsidR="00E023F5">
        <w:rPr>
          <w:sz w:val="22"/>
          <w:szCs w:val="22"/>
          <w:lang w:val="en-US"/>
        </w:rPr>
        <w:t xml:space="preserve">4, </w:t>
      </w:r>
      <w:r w:rsidR="00E023F5" w:rsidRPr="006C44F2">
        <w:rPr>
          <w:sz w:val="22"/>
          <w:szCs w:val="22"/>
          <w:lang w:val="en-US"/>
        </w:rPr>
        <w:t>5</w:t>
      </w:r>
      <w:r w:rsidR="00E023F5">
        <w:rPr>
          <w:sz w:val="22"/>
          <w:szCs w:val="22"/>
          <w:lang w:val="en-US"/>
        </w:rPr>
        <w:t xml:space="preserve"> and 8</w:t>
      </w:r>
      <w:r w:rsidR="00E023F5" w:rsidRPr="006C44F2">
        <w:rPr>
          <w:sz w:val="22"/>
          <w:szCs w:val="22"/>
          <w:lang w:val="en-US"/>
        </w:rPr>
        <w:t xml:space="preserve">; CSW 60: OP 23 </w:t>
      </w:r>
      <w:proofErr w:type="spellStart"/>
      <w:r w:rsidR="00E023F5" w:rsidRPr="006C44F2">
        <w:rPr>
          <w:sz w:val="22"/>
          <w:szCs w:val="22"/>
          <w:lang w:val="en-US"/>
        </w:rPr>
        <w:t>ff-kk</w:t>
      </w:r>
      <w:proofErr w:type="spellEnd"/>
      <w:r w:rsidR="00E023F5">
        <w:rPr>
          <w:sz w:val="22"/>
          <w:szCs w:val="22"/>
        </w:rPr>
        <w:t xml:space="preserve">, </w:t>
      </w:r>
      <w:r w:rsidRPr="006C44F2">
        <w:rPr>
          <w:sz w:val="22"/>
          <w:szCs w:val="22"/>
        </w:rPr>
        <w:t>CSW 62: xx</w:t>
      </w:r>
      <w:r w:rsidR="00E023F5">
        <w:rPr>
          <w:sz w:val="22"/>
          <w:szCs w:val="22"/>
        </w:rPr>
        <w:t>,</w:t>
      </w:r>
      <w:r w:rsidRPr="006C44F2">
        <w:rPr>
          <w:sz w:val="22"/>
          <w:szCs w:val="22"/>
        </w:rPr>
        <w:t xml:space="preserve">) </w:t>
      </w:r>
    </w:p>
    <w:p w14:paraId="0966185D" w14:textId="77777777" w:rsidR="007F7CEE" w:rsidRPr="006C44F2" w:rsidRDefault="007F7CEE" w:rsidP="007F7CEE">
      <w:pPr>
        <w:pStyle w:val="SingleTxtG"/>
        <w:spacing w:after="0" w:line="240" w:lineRule="auto"/>
        <w:ind w:left="360" w:right="0"/>
        <w:rPr>
          <w:sz w:val="22"/>
          <w:szCs w:val="22"/>
          <w:lang w:val="en-US"/>
        </w:rPr>
      </w:pPr>
    </w:p>
    <w:p w14:paraId="2580E886" w14:textId="153D9090" w:rsidR="00484670" w:rsidRPr="006C44F2" w:rsidRDefault="38FE22D8" w:rsidP="006C44F2">
      <w:pPr>
        <w:pStyle w:val="SingleTxtG"/>
        <w:numPr>
          <w:ilvl w:val="0"/>
          <w:numId w:val="18"/>
        </w:numPr>
        <w:ind w:left="0" w:right="0" w:hanging="270"/>
        <w:rPr>
          <w:sz w:val="22"/>
          <w:szCs w:val="22"/>
          <w:lang w:val="en-US"/>
        </w:rPr>
      </w:pPr>
      <w:r w:rsidRPr="006C44F2">
        <w:rPr>
          <w:i/>
          <w:iCs/>
          <w:sz w:val="22"/>
          <w:szCs w:val="22"/>
          <w:lang w:val="en-US"/>
        </w:rPr>
        <w:t>Calls upon</w:t>
      </w:r>
      <w:r w:rsidRPr="006C44F2">
        <w:rPr>
          <w:sz w:val="22"/>
          <w:szCs w:val="22"/>
          <w:lang w:val="en-US"/>
        </w:rPr>
        <w:t xml:space="preserve"> States to implement policies and actions directed to:</w:t>
      </w:r>
    </w:p>
    <w:p w14:paraId="1E07EF3D" w14:textId="052E512F" w:rsidR="009707E6" w:rsidRPr="006C44F2" w:rsidRDefault="38FE22D8" w:rsidP="006C44F2">
      <w:pPr>
        <w:pStyle w:val="ListParagraph"/>
        <w:numPr>
          <w:ilvl w:val="0"/>
          <w:numId w:val="5"/>
        </w:numPr>
        <w:spacing w:after="120"/>
        <w:ind w:left="360"/>
        <w:jc w:val="both"/>
        <w:rPr>
          <w:rFonts w:ascii="Times New Roman" w:eastAsia="Times New Roman" w:hAnsi="Times New Roman" w:cs="Times New Roman"/>
          <w:lang w:val="en-US"/>
        </w:rPr>
      </w:pPr>
      <w:r w:rsidRPr="006C44F2">
        <w:rPr>
          <w:rFonts w:ascii="Times New Roman" w:eastAsia="Times New Roman" w:hAnsi="Times New Roman" w:cs="Times New Roman"/>
          <w:lang w:val="en-GB"/>
        </w:rPr>
        <w:t>Eradicate poverty and combat the feminization of poverty, ensure the full and equal participation of women and girls in the design, implementation and follow-up of poverty eradication and development policies and programmes, support increased employment and decent work, and promote the participation of women at all levels and sectors of the economy. (from CSW62 OP46m)</w:t>
      </w:r>
    </w:p>
    <w:p w14:paraId="1542CC4F" w14:textId="7539AB8D" w:rsidR="009707E6" w:rsidRPr="006C44F2" w:rsidRDefault="38FE22D8" w:rsidP="006C44F2">
      <w:pPr>
        <w:pStyle w:val="ListParagraph"/>
        <w:numPr>
          <w:ilvl w:val="0"/>
          <w:numId w:val="5"/>
        </w:numPr>
        <w:spacing w:after="120"/>
        <w:ind w:left="360"/>
        <w:jc w:val="both"/>
        <w:rPr>
          <w:rFonts w:ascii="Times New Roman" w:eastAsia="Times New Roman" w:hAnsi="Times New Roman" w:cs="Times New Roman"/>
          <w:lang w:val="en-US"/>
        </w:rPr>
      </w:pPr>
      <w:r w:rsidRPr="006C44F2">
        <w:rPr>
          <w:rFonts w:ascii="Times New Roman" w:eastAsia="Times New Roman" w:hAnsi="Times New Roman" w:cs="Times New Roman"/>
          <w:lang w:val="en-US"/>
        </w:rPr>
        <w:t>Recognize, reduce and redistribute women</w:t>
      </w:r>
      <w:r w:rsidR="00723419">
        <w:rPr>
          <w:rFonts w:ascii="Times New Roman" w:eastAsia="Times New Roman" w:hAnsi="Times New Roman" w:cs="Times New Roman"/>
          <w:lang w:val="en-US"/>
        </w:rPr>
        <w:t>’</w:t>
      </w:r>
      <w:r w:rsidR="00E023F5">
        <w:rPr>
          <w:rFonts w:ascii="Times New Roman" w:eastAsia="Times New Roman" w:hAnsi="Times New Roman" w:cs="Times New Roman"/>
          <w:lang w:val="en-US"/>
        </w:rPr>
        <w:t>s and girls</w:t>
      </w:r>
      <w:r w:rsidR="00723419">
        <w:rPr>
          <w:rFonts w:ascii="Times New Roman" w:eastAsia="Times New Roman" w:hAnsi="Times New Roman" w:cs="Times New Roman"/>
          <w:lang w:val="en-US"/>
        </w:rPr>
        <w:t>’</w:t>
      </w:r>
      <w:r w:rsidRPr="006C44F2">
        <w:rPr>
          <w:rFonts w:ascii="Times New Roman" w:eastAsia="Times New Roman" w:hAnsi="Times New Roman" w:cs="Times New Roman"/>
          <w:lang w:val="en-US"/>
        </w:rPr>
        <w:t xml:space="preserve"> disproportionate share of unpaid care and domestic work and take steps to implement family oriented policies to achieve a family-work balance and to facilitate the transition of women informal workers, including those engaged in informal paid care and domestic work, to the formal economy, and to extend rights to non-discrimination, paid parental leave and childcare provisions; (HRC 35/18, OP5)</w:t>
      </w:r>
    </w:p>
    <w:p w14:paraId="329BCE64" w14:textId="39F52716" w:rsidR="009707E6" w:rsidRPr="006C44F2" w:rsidRDefault="38FE22D8" w:rsidP="006C44F2">
      <w:pPr>
        <w:pStyle w:val="ListParagraph"/>
        <w:numPr>
          <w:ilvl w:val="0"/>
          <w:numId w:val="5"/>
        </w:numPr>
        <w:spacing w:after="120"/>
        <w:ind w:left="360"/>
        <w:jc w:val="both"/>
        <w:rPr>
          <w:rFonts w:ascii="Times New Roman" w:eastAsia="Times New Roman" w:hAnsi="Times New Roman" w:cs="Times New Roman"/>
          <w:lang w:val="en-US"/>
        </w:rPr>
      </w:pPr>
      <w:r w:rsidRPr="006C44F2">
        <w:rPr>
          <w:rFonts w:ascii="Times New Roman" w:eastAsia="Times New Roman" w:hAnsi="Times New Roman" w:cs="Times New Roman"/>
          <w:lang w:val="en-GB"/>
        </w:rPr>
        <w:t xml:space="preserve">Foster the access to natural, economic and productive resources, including access to, use of, ownership of and control over land, property and inheritance rights, including diverse types of land </w:t>
      </w:r>
      <w:r w:rsidRPr="006C44F2">
        <w:rPr>
          <w:rFonts w:ascii="Times New Roman" w:eastAsia="Times New Roman" w:hAnsi="Times New Roman" w:cs="Times New Roman"/>
          <w:lang w:val="en-GB"/>
        </w:rPr>
        <w:lastRenderedPageBreak/>
        <w:t>tenure, appropriate new technology and financial services, such as credit, banking and finance, including but not limited to microfinance, as well as equal access to justice and legal assistance in this regard, and ensure women</w:t>
      </w:r>
      <w:r w:rsidR="00723419">
        <w:rPr>
          <w:rFonts w:ascii="Times New Roman" w:eastAsia="Times New Roman" w:hAnsi="Times New Roman" w:cs="Times New Roman"/>
          <w:lang w:val="en-GB"/>
        </w:rPr>
        <w:t>’</w:t>
      </w:r>
      <w:r w:rsidRPr="006C44F2">
        <w:rPr>
          <w:rFonts w:ascii="Times New Roman" w:eastAsia="Times New Roman" w:hAnsi="Times New Roman" w:cs="Times New Roman"/>
          <w:lang w:val="en-GB"/>
        </w:rPr>
        <w:t>s legal capacity and equal rights with men to conclude contracts, in particular of groups of women who are victims of multiple and intersecting forms of discrimination</w:t>
      </w:r>
      <w:r w:rsidR="00723419">
        <w:rPr>
          <w:rFonts w:ascii="Times New Roman" w:eastAsia="Times New Roman" w:hAnsi="Times New Roman" w:cs="Times New Roman"/>
          <w:lang w:val="en-GB"/>
        </w:rPr>
        <w:t xml:space="preserve"> (from </w:t>
      </w:r>
      <w:r w:rsidR="00723419">
        <w:rPr>
          <w:rFonts w:ascii="Times New Roman" w:eastAsia="Times New Roman" w:hAnsi="Times New Roman" w:cs="Times New Roman"/>
          <w:lang w:val="en-US"/>
        </w:rPr>
        <w:t>62 CSW OP44 d)</w:t>
      </w:r>
      <w:r w:rsidRPr="006C44F2">
        <w:rPr>
          <w:rFonts w:ascii="Times New Roman" w:eastAsia="Times New Roman" w:hAnsi="Times New Roman" w:cs="Times New Roman"/>
          <w:lang w:val="en-GB"/>
        </w:rPr>
        <w:t>;</w:t>
      </w:r>
    </w:p>
    <w:p w14:paraId="4E9EED4F" w14:textId="0A30F9C7" w:rsidR="009707E6" w:rsidRPr="006C44F2" w:rsidRDefault="38FE22D8" w:rsidP="006C44F2">
      <w:pPr>
        <w:pStyle w:val="ListParagraph"/>
        <w:numPr>
          <w:ilvl w:val="0"/>
          <w:numId w:val="6"/>
        </w:numPr>
        <w:spacing w:after="120"/>
        <w:ind w:left="360"/>
        <w:jc w:val="both"/>
        <w:rPr>
          <w:rFonts w:ascii="Times New Roman" w:eastAsia="Times New Roman" w:hAnsi="Times New Roman" w:cs="Times New Roman"/>
          <w:lang w:val="en-US"/>
        </w:rPr>
      </w:pPr>
      <w:r w:rsidRPr="006C44F2">
        <w:rPr>
          <w:rFonts w:ascii="Times New Roman" w:eastAsia="Times New Roman" w:hAnsi="Times New Roman" w:cs="Times New Roman"/>
          <w:lang w:val="en-GB"/>
        </w:rPr>
        <w:t xml:space="preserve">Guarantee substantive equality by adopting necessary measures to prevent, diminish and eliminate the conditions and attitudes which cause or perpetuate substantive or de facto discrimination, including where </w:t>
      </w:r>
      <w:r w:rsidR="006C44F2" w:rsidRPr="006C44F2">
        <w:rPr>
          <w:rFonts w:ascii="Times New Roman" w:eastAsia="Times New Roman" w:hAnsi="Times New Roman" w:cs="Times New Roman"/>
          <w:lang w:val="en-GB"/>
        </w:rPr>
        <w:t>appropriate</w:t>
      </w:r>
      <w:r w:rsidRPr="006C44F2">
        <w:rPr>
          <w:rFonts w:ascii="Times New Roman" w:eastAsia="Times New Roman" w:hAnsi="Times New Roman" w:cs="Times New Roman"/>
          <w:lang w:val="en-GB"/>
        </w:rPr>
        <w:t>, the adoption of temporary special measures, including for gender-specific needs and equal enjoyment benefits,</w:t>
      </w:r>
      <w:r w:rsidR="00723419">
        <w:rPr>
          <w:rFonts w:ascii="Times New Roman" w:eastAsia="Times New Roman" w:hAnsi="Times New Roman" w:cs="Times New Roman"/>
          <w:lang w:val="en-GB"/>
        </w:rPr>
        <w:t xml:space="preserve"> (from HRC 35/18 OP5)</w:t>
      </w:r>
    </w:p>
    <w:p w14:paraId="1AF8B450" w14:textId="3F618F42" w:rsidR="009707E6" w:rsidRPr="006C44F2" w:rsidRDefault="38FE22D8" w:rsidP="006C44F2">
      <w:pPr>
        <w:pStyle w:val="ListParagraph"/>
        <w:numPr>
          <w:ilvl w:val="0"/>
          <w:numId w:val="6"/>
        </w:numPr>
        <w:spacing w:after="120"/>
        <w:ind w:left="360"/>
        <w:jc w:val="both"/>
        <w:rPr>
          <w:rFonts w:ascii="Times New Roman" w:eastAsia="Times New Roman" w:hAnsi="Times New Roman" w:cs="Times New Roman"/>
          <w:lang w:val="en-US"/>
        </w:rPr>
      </w:pPr>
      <w:r w:rsidRPr="006C44F2">
        <w:rPr>
          <w:rFonts w:ascii="Times New Roman" w:eastAsia="Times New Roman" w:hAnsi="Times New Roman" w:cs="Times New Roman"/>
          <w:lang w:val="en-US"/>
        </w:rPr>
        <w:t>Encourage and facilitate women</w:t>
      </w:r>
      <w:r w:rsidR="00723419">
        <w:rPr>
          <w:rFonts w:ascii="Times New Roman" w:eastAsia="Times New Roman" w:hAnsi="Times New Roman" w:cs="Times New Roman"/>
          <w:lang w:val="en-US"/>
        </w:rPr>
        <w:t>’</w:t>
      </w:r>
      <w:r w:rsidRPr="006C44F2">
        <w:rPr>
          <w:rFonts w:ascii="Times New Roman" w:eastAsia="Times New Roman" w:hAnsi="Times New Roman" w:cs="Times New Roman"/>
          <w:lang w:val="en-US"/>
        </w:rPr>
        <w:t xml:space="preserve">s entrepreneurship, including by improving access to financing and investment opportunities, tools of trade, business development and training, </w:t>
      </w:r>
      <w:proofErr w:type="spellStart"/>
      <w:r w:rsidR="006C44F2" w:rsidRPr="006C44F2">
        <w:rPr>
          <w:rFonts w:ascii="Times New Roman" w:eastAsia="Times New Roman" w:hAnsi="Times New Roman" w:cs="Times New Roman"/>
          <w:lang w:val="en-US"/>
        </w:rPr>
        <w:t>th</w:t>
      </w:r>
      <w:r w:rsidR="006C44F2">
        <w:rPr>
          <w:rFonts w:ascii="Times New Roman" w:eastAsia="Times New Roman" w:hAnsi="Times New Roman" w:cs="Times New Roman"/>
          <w:lang w:val="en-US"/>
        </w:rPr>
        <w:t>r</w:t>
      </w:r>
      <w:r w:rsidR="006C44F2" w:rsidRPr="006C44F2">
        <w:rPr>
          <w:rFonts w:ascii="Times New Roman" w:eastAsia="Times New Roman" w:hAnsi="Times New Roman" w:cs="Times New Roman"/>
          <w:lang w:val="en-US"/>
        </w:rPr>
        <w:t>ough</w:t>
      </w:r>
      <w:proofErr w:type="spellEnd"/>
      <w:r w:rsidRPr="006C44F2">
        <w:rPr>
          <w:rFonts w:ascii="Times New Roman" w:eastAsia="Times New Roman" w:hAnsi="Times New Roman" w:cs="Times New Roman"/>
          <w:lang w:val="en-US"/>
        </w:rPr>
        <w:t xml:space="preserve">, inter alia, </w:t>
      </w:r>
      <w:r w:rsidRPr="006C44F2">
        <w:rPr>
          <w:rFonts w:ascii="Times New Roman" w:eastAsia="Times New Roman" w:hAnsi="Times New Roman" w:cs="Times New Roman"/>
          <w:lang w:val="en-GB"/>
        </w:rPr>
        <w:t xml:space="preserve">the mobilization of adequate financial resources, capacity-building and the transfer of technology on mutually agreed terms, </w:t>
      </w:r>
      <w:r w:rsidRPr="006C44F2">
        <w:rPr>
          <w:rFonts w:ascii="Times New Roman" w:eastAsia="Times New Roman" w:hAnsi="Times New Roman" w:cs="Times New Roman"/>
          <w:lang w:val="en-US"/>
        </w:rPr>
        <w:t>in order to increase the share of trade and procurement from women</w:t>
      </w:r>
      <w:r w:rsidR="00723419">
        <w:rPr>
          <w:rFonts w:ascii="Times New Roman" w:eastAsia="Times New Roman" w:hAnsi="Times New Roman" w:cs="Times New Roman"/>
          <w:lang w:val="en-US"/>
        </w:rPr>
        <w:t>’</w:t>
      </w:r>
      <w:r w:rsidRPr="006C44F2">
        <w:rPr>
          <w:rFonts w:ascii="Times New Roman" w:eastAsia="Times New Roman" w:hAnsi="Times New Roman" w:cs="Times New Roman"/>
          <w:lang w:val="en-US"/>
        </w:rPr>
        <w:t xml:space="preserve">s enterprises, including micro-, small and medium-sized enterprises, cooperatives and </w:t>
      </w:r>
      <w:r w:rsidR="006C44F2" w:rsidRPr="006C44F2">
        <w:rPr>
          <w:rFonts w:ascii="Times New Roman" w:eastAsia="Times New Roman" w:hAnsi="Times New Roman" w:cs="Times New Roman"/>
          <w:lang w:val="en-US"/>
        </w:rPr>
        <w:t>self-help</w:t>
      </w:r>
      <w:r w:rsidRPr="006C44F2">
        <w:rPr>
          <w:rFonts w:ascii="Times New Roman" w:eastAsia="Times New Roman" w:hAnsi="Times New Roman" w:cs="Times New Roman"/>
          <w:lang w:val="en-US"/>
        </w:rPr>
        <w:t xml:space="preserve"> groups in both the public and private sectors, and promote girls</w:t>
      </w:r>
      <w:r w:rsidR="00723419">
        <w:rPr>
          <w:rFonts w:ascii="Times New Roman" w:eastAsia="Times New Roman" w:hAnsi="Times New Roman" w:cs="Times New Roman"/>
          <w:lang w:val="en-US"/>
        </w:rPr>
        <w:t>’</w:t>
      </w:r>
      <w:r w:rsidRPr="006C44F2">
        <w:rPr>
          <w:rFonts w:ascii="Times New Roman" w:eastAsia="Times New Roman" w:hAnsi="Times New Roman" w:cs="Times New Roman"/>
          <w:lang w:val="en-US"/>
        </w:rPr>
        <w:t xml:space="preserve"> and young women</w:t>
      </w:r>
      <w:r w:rsidR="00723419">
        <w:rPr>
          <w:rFonts w:ascii="Times New Roman" w:eastAsia="Times New Roman" w:hAnsi="Times New Roman" w:cs="Times New Roman"/>
          <w:lang w:val="en-US"/>
        </w:rPr>
        <w:t>’</w:t>
      </w:r>
      <w:r w:rsidRPr="006C44F2">
        <w:rPr>
          <w:rFonts w:ascii="Times New Roman" w:eastAsia="Times New Roman" w:hAnsi="Times New Roman" w:cs="Times New Roman"/>
          <w:lang w:val="en-US"/>
        </w:rPr>
        <w:t xml:space="preserve">s access to training for business development; (from CSW61 OP40 </w:t>
      </w:r>
      <w:proofErr w:type="spellStart"/>
      <w:r w:rsidRPr="006C44F2">
        <w:rPr>
          <w:rFonts w:ascii="Times New Roman" w:eastAsia="Times New Roman" w:hAnsi="Times New Roman" w:cs="Times New Roman"/>
          <w:lang w:val="en-US"/>
        </w:rPr>
        <w:t>ddd</w:t>
      </w:r>
      <w:proofErr w:type="spellEnd"/>
      <w:r w:rsidRPr="006C44F2">
        <w:rPr>
          <w:rFonts w:ascii="Times New Roman" w:eastAsia="Times New Roman" w:hAnsi="Times New Roman" w:cs="Times New Roman"/>
          <w:lang w:val="en-US"/>
        </w:rPr>
        <w:t xml:space="preserve"> and CSW62 OP44).</w:t>
      </w:r>
    </w:p>
    <w:p w14:paraId="58DB45E0" w14:textId="0208E69D" w:rsidR="009707E6" w:rsidRPr="007E2BE6" w:rsidRDefault="38FE22D8" w:rsidP="006C44F2">
      <w:pPr>
        <w:pStyle w:val="ListParagraph"/>
        <w:numPr>
          <w:ilvl w:val="0"/>
          <w:numId w:val="6"/>
        </w:numPr>
        <w:spacing w:after="120"/>
        <w:ind w:left="360"/>
        <w:jc w:val="both"/>
        <w:rPr>
          <w:rFonts w:ascii="Times New Roman" w:eastAsia="Times New Roman" w:hAnsi="Times New Roman" w:cs="Times New Roman"/>
          <w:lang w:val="en-US"/>
        </w:rPr>
      </w:pPr>
      <w:r w:rsidRPr="006C44F2">
        <w:rPr>
          <w:rFonts w:ascii="Times New Roman" w:eastAsia="Times New Roman" w:hAnsi="Times New Roman" w:cs="Times New Roman"/>
          <w:lang w:val="en-US"/>
        </w:rPr>
        <w:t>Prevent and eliminate all forms of violence and sexual harassment against women and girls in all settings, including</w:t>
      </w:r>
      <w:r w:rsidR="006C44F2">
        <w:rPr>
          <w:rFonts w:ascii="Times New Roman" w:eastAsia="Times New Roman" w:hAnsi="Times New Roman" w:cs="Times New Roman"/>
          <w:lang w:val="en-US"/>
        </w:rPr>
        <w:t xml:space="preserve"> </w:t>
      </w:r>
      <w:r w:rsidRPr="006C44F2">
        <w:rPr>
          <w:rFonts w:ascii="Times New Roman" w:eastAsia="Times New Roman" w:hAnsi="Times New Roman" w:cs="Times New Roman"/>
          <w:lang w:val="en-US"/>
        </w:rPr>
        <w:t xml:space="preserve">public spaces, means of public transportation, schools and workplaces, specifically workplaces that are largely male dominated or where stereotyped masculinity prevails, by inter alia, implementing effective violence prevention and response activities, including facilitating effective action after sexual harassment has occurred by holding perpetrators to account and providing access to remedies and protection for the victims, engaging men and boys, educating children from a young age regarding the importance of treating all people with dignity and respect, designing educational </w:t>
      </w:r>
      <w:proofErr w:type="spellStart"/>
      <w:r w:rsidRPr="006C44F2">
        <w:rPr>
          <w:rFonts w:ascii="Times New Roman" w:eastAsia="Times New Roman" w:hAnsi="Times New Roman" w:cs="Times New Roman"/>
          <w:lang w:val="en-US"/>
        </w:rPr>
        <w:t>programmes</w:t>
      </w:r>
      <w:proofErr w:type="spellEnd"/>
      <w:r w:rsidRPr="006C44F2">
        <w:rPr>
          <w:rFonts w:ascii="Times New Roman" w:eastAsia="Times New Roman" w:hAnsi="Times New Roman" w:cs="Times New Roman"/>
          <w:lang w:val="en-US"/>
        </w:rPr>
        <w:t xml:space="preserve"> and training materials that support gender equality, human rights, respectful relationships and non-violent </w:t>
      </w:r>
      <w:proofErr w:type="spellStart"/>
      <w:r w:rsidRPr="006C44F2">
        <w:rPr>
          <w:rFonts w:ascii="Times New Roman" w:eastAsia="Times New Roman" w:hAnsi="Times New Roman" w:cs="Times New Roman"/>
          <w:lang w:val="en-US"/>
        </w:rPr>
        <w:t>behaviour</w:t>
      </w:r>
      <w:proofErr w:type="spellEnd"/>
      <w:r w:rsidRPr="006C44F2">
        <w:rPr>
          <w:rFonts w:ascii="Times New Roman" w:eastAsia="Times New Roman" w:hAnsi="Times New Roman" w:cs="Times New Roman"/>
          <w:lang w:val="en-GB"/>
        </w:rPr>
        <w:t xml:space="preserve"> (CSW62 p.46 </w:t>
      </w:r>
      <w:proofErr w:type="spellStart"/>
      <w:r w:rsidRPr="006C44F2">
        <w:rPr>
          <w:rFonts w:ascii="Times New Roman" w:eastAsia="Times New Roman" w:hAnsi="Times New Roman" w:cs="Times New Roman"/>
          <w:lang w:val="en-GB"/>
        </w:rPr>
        <w:t>nn</w:t>
      </w:r>
      <w:proofErr w:type="spellEnd"/>
      <w:r w:rsidRPr="006C44F2">
        <w:rPr>
          <w:rFonts w:ascii="Times New Roman" w:eastAsia="Times New Roman" w:hAnsi="Times New Roman" w:cs="Times New Roman"/>
          <w:lang w:val="en-GB"/>
        </w:rPr>
        <w:t>)</w:t>
      </w:r>
    </w:p>
    <w:p w14:paraId="59C2584D" w14:textId="77777777" w:rsidR="007E2BE6" w:rsidRPr="007F7CEE" w:rsidRDefault="007E2BE6" w:rsidP="007E2BE6">
      <w:pPr>
        <w:pStyle w:val="ListParagraph"/>
        <w:numPr>
          <w:ilvl w:val="0"/>
          <w:numId w:val="6"/>
        </w:numPr>
        <w:spacing w:after="120"/>
        <w:ind w:left="360"/>
        <w:jc w:val="both"/>
        <w:rPr>
          <w:rFonts w:ascii="Times New Roman" w:eastAsia="Times New Roman" w:hAnsi="Times New Roman" w:cs="Times New Roman"/>
          <w:lang w:val="en-US"/>
        </w:rPr>
      </w:pPr>
      <w:r w:rsidRPr="006C44F2">
        <w:rPr>
          <w:rFonts w:ascii="Times New Roman" w:eastAsia="Times New Roman" w:hAnsi="Times New Roman" w:cs="Times New Roman"/>
          <w:lang w:val="en-GB"/>
        </w:rPr>
        <w:t xml:space="preserve">Ensure access to justice and accountability mechanisms and remedies for the effective implementation and enforcement of laws aimed at preventing and eliminating all forms of discrimination and violence against women and girls, </w:t>
      </w:r>
      <w:r>
        <w:rPr>
          <w:rFonts w:ascii="Times New Roman" w:eastAsia="Times New Roman" w:hAnsi="Times New Roman" w:cs="Times New Roman"/>
          <w:lang w:val="en-GB"/>
        </w:rPr>
        <w:t>in all contexts</w:t>
      </w:r>
      <w:r w:rsidRPr="006C44F2">
        <w:rPr>
          <w:rFonts w:ascii="Times New Roman" w:eastAsia="Times New Roman" w:hAnsi="Times New Roman" w:cs="Times New Roman"/>
          <w:lang w:val="en-GB"/>
        </w:rPr>
        <w:t xml:space="preserve">, including by informing women and girls of their rights under relevant laws, and by improving legal infrastructure and removing all barriers in access to legal counselling, assistance and remedies; (from HRC/35/16) </w:t>
      </w:r>
    </w:p>
    <w:p w14:paraId="7D6C8A7F" w14:textId="01BA53D9" w:rsidR="009707E6" w:rsidRPr="006C44F2" w:rsidRDefault="38FE22D8" w:rsidP="006C44F2">
      <w:pPr>
        <w:pStyle w:val="ListParagraph"/>
        <w:numPr>
          <w:ilvl w:val="0"/>
          <w:numId w:val="6"/>
        </w:numPr>
        <w:spacing w:after="120"/>
        <w:ind w:left="360"/>
        <w:jc w:val="both"/>
        <w:rPr>
          <w:rFonts w:ascii="Times New Roman" w:eastAsia="Times New Roman" w:hAnsi="Times New Roman" w:cs="Times New Roman"/>
          <w:lang w:val="en-US"/>
        </w:rPr>
      </w:pPr>
      <w:r w:rsidRPr="006C44F2">
        <w:rPr>
          <w:rFonts w:ascii="Times New Roman" w:eastAsia="Times New Roman" w:hAnsi="Times New Roman" w:cs="Times New Roman"/>
          <w:lang w:val="en-US"/>
        </w:rPr>
        <w:t xml:space="preserve">Ensure the equal enjoyment of women and girls to quality education at all levels, including human rights-based education, facilitating their access to information and communications technology and science, technology, engineering and mathematics education in order to promote their empowerment and to develop the skills, information and knowledge that are needed to support their </w:t>
      </w:r>
      <w:proofErr w:type="spellStart"/>
      <w:r w:rsidRPr="006C44F2">
        <w:rPr>
          <w:rFonts w:ascii="Times New Roman" w:eastAsia="Times New Roman" w:hAnsi="Times New Roman" w:cs="Times New Roman"/>
          <w:lang w:val="en-US"/>
        </w:rPr>
        <w:t>labour</w:t>
      </w:r>
      <w:proofErr w:type="spellEnd"/>
      <w:r w:rsidRPr="006C44F2">
        <w:rPr>
          <w:rFonts w:ascii="Times New Roman" w:eastAsia="Times New Roman" w:hAnsi="Times New Roman" w:cs="Times New Roman"/>
          <w:lang w:val="en-US"/>
        </w:rPr>
        <w:t xml:space="preserve"> market entry (based on CSW62, p.46 pp and HRC/38/46 p.86)</w:t>
      </w:r>
    </w:p>
    <w:p w14:paraId="29233528" w14:textId="77777777" w:rsidR="007F7CEE" w:rsidRPr="006C44F2" w:rsidRDefault="007F7CEE" w:rsidP="007F7CEE">
      <w:pPr>
        <w:pStyle w:val="ListParagraph"/>
        <w:ind w:left="360"/>
        <w:jc w:val="both"/>
        <w:rPr>
          <w:rFonts w:ascii="Times New Roman" w:eastAsia="Times New Roman" w:hAnsi="Times New Roman" w:cs="Times New Roman"/>
          <w:lang w:val="en-US"/>
        </w:rPr>
      </w:pPr>
    </w:p>
    <w:p w14:paraId="23AEDAD5" w14:textId="4AA6B642" w:rsidR="00484670" w:rsidRPr="007F7CEE" w:rsidRDefault="38FE22D8" w:rsidP="006C44F2">
      <w:pPr>
        <w:pStyle w:val="SingleTxtG"/>
        <w:numPr>
          <w:ilvl w:val="0"/>
          <w:numId w:val="18"/>
        </w:numPr>
        <w:ind w:left="0" w:right="0" w:hanging="270"/>
        <w:rPr>
          <w:sz w:val="22"/>
          <w:szCs w:val="22"/>
          <w:lang w:val="en-CA"/>
        </w:rPr>
      </w:pPr>
      <w:r w:rsidRPr="006C44F2">
        <w:rPr>
          <w:i/>
          <w:iCs/>
          <w:sz w:val="22"/>
          <w:szCs w:val="22"/>
        </w:rPr>
        <w:t xml:space="preserve">Encourages </w:t>
      </w:r>
      <w:r w:rsidRPr="006C44F2">
        <w:rPr>
          <w:sz w:val="22"/>
          <w:szCs w:val="22"/>
        </w:rPr>
        <w:t>States to prioritize the allocation of funds, both internationally and domesticall</w:t>
      </w:r>
      <w:r w:rsidR="00723419">
        <w:rPr>
          <w:sz w:val="22"/>
          <w:szCs w:val="22"/>
        </w:rPr>
        <w:t>y, to support women’s and girls’</w:t>
      </w:r>
      <w:r w:rsidRPr="006C44F2">
        <w:rPr>
          <w:sz w:val="22"/>
          <w:szCs w:val="22"/>
        </w:rPr>
        <w:t xml:space="preserve"> full and equal enjoyment of all human rights, including by mainstreaming gender equality in the process of conceiving, planning, approving, executing, analysing and ordering budgets, to ensure that their legal and policy commitments bear results, and to implement active and sustained measures to promote good practices in the eradication of discrimination and the promotion of women</w:t>
      </w:r>
      <w:r w:rsidR="00723419">
        <w:rPr>
          <w:sz w:val="22"/>
          <w:szCs w:val="22"/>
        </w:rPr>
        <w:t>’</w:t>
      </w:r>
      <w:r w:rsidRPr="006C44F2">
        <w:rPr>
          <w:sz w:val="22"/>
          <w:szCs w:val="22"/>
        </w:rPr>
        <w:t>s and girls</w:t>
      </w:r>
      <w:r w:rsidR="00723419">
        <w:rPr>
          <w:sz w:val="22"/>
          <w:szCs w:val="22"/>
        </w:rPr>
        <w:t>’</w:t>
      </w:r>
      <w:r w:rsidRPr="006C44F2">
        <w:rPr>
          <w:sz w:val="22"/>
          <w:szCs w:val="22"/>
        </w:rPr>
        <w:t xml:space="preserve"> empowerment, including measures focused on attitudinal and behavioural change that cultivate an environment in which good practices in achieving gender equality in law and practice can thrive; (</w:t>
      </w:r>
      <w:r w:rsidRPr="006C44F2">
        <w:rPr>
          <w:sz w:val="22"/>
          <w:szCs w:val="22"/>
          <w:lang w:val="en-US"/>
        </w:rPr>
        <w:t>HRC 35/18, OP7)</w:t>
      </w:r>
    </w:p>
    <w:p w14:paraId="77808141" w14:textId="77777777" w:rsidR="007F7CEE" w:rsidRPr="006C44F2" w:rsidRDefault="007F7CEE" w:rsidP="007F7CEE">
      <w:pPr>
        <w:pStyle w:val="SingleTxtG"/>
        <w:spacing w:after="0" w:line="240" w:lineRule="auto"/>
        <w:ind w:left="0" w:right="0"/>
        <w:rPr>
          <w:sz w:val="22"/>
          <w:szCs w:val="22"/>
          <w:lang w:val="en-CA"/>
        </w:rPr>
      </w:pPr>
    </w:p>
    <w:p w14:paraId="57B667BF" w14:textId="5A37A134" w:rsidR="00484670" w:rsidRPr="006C44F2" w:rsidRDefault="05838D85" w:rsidP="007F7CEE">
      <w:pPr>
        <w:pStyle w:val="SingleTxtG"/>
        <w:numPr>
          <w:ilvl w:val="0"/>
          <w:numId w:val="18"/>
        </w:numPr>
        <w:spacing w:after="0" w:line="240" w:lineRule="auto"/>
        <w:ind w:left="0" w:right="0" w:hanging="270"/>
        <w:rPr>
          <w:sz w:val="22"/>
          <w:szCs w:val="22"/>
          <w:lang w:val="en-CA"/>
        </w:rPr>
      </w:pPr>
      <w:r w:rsidRPr="006C44F2">
        <w:rPr>
          <w:i/>
          <w:iCs/>
          <w:sz w:val="22"/>
          <w:szCs w:val="22"/>
          <w:lang w:val="en-CA"/>
        </w:rPr>
        <w:t>Urges</w:t>
      </w:r>
      <w:r w:rsidRPr="006C44F2">
        <w:rPr>
          <w:sz w:val="22"/>
          <w:szCs w:val="22"/>
          <w:lang w:val="en-CA"/>
        </w:rPr>
        <w:t xml:space="preserve"> States to ensure  sexual and reproductive health and rights including through the removal of legal barriers and the development and enforcement of policies, good practices and legal frameworks that respect the right to bodily autonomy and guarantee universal access to sexual and reproductive health, services, evidence-based information and education, including for family planning, safe and effective methods of modern contraception, emergency contraception, prevention programmes for adolescent pregnancy, maternal health care, such as skilled birth assistance and emergency obstetric care, safe </w:t>
      </w:r>
      <w:r w:rsidRPr="006C44F2">
        <w:rPr>
          <w:sz w:val="22"/>
          <w:szCs w:val="22"/>
          <w:lang w:val="en-CA"/>
        </w:rPr>
        <w:lastRenderedPageBreak/>
        <w:t xml:space="preserve">termination of pregnancy, and the prevention and treatment of reproductive tract infections, sexually transmitted infections, HIV and reproductive cancers and the integration of sexual and reproductive health into national health strategies and programmes, recognizing that human rights include the right of women and girls to have control over and decide freely and responsibly on all matters related to their sexuality, including sexual and reproductive health, free of coercion, discrimination and violence; (Based on HRC/32/4 pp11 and op6, HRC35/18 op12, and 61 CSW, Agreed Conclusions, PP40, x)  </w:t>
      </w:r>
      <w:r w:rsidR="00361529" w:rsidRPr="006C44F2">
        <w:rPr>
          <w:bCs/>
          <w:sz w:val="22"/>
          <w:szCs w:val="22"/>
        </w:rPr>
        <w:tab/>
      </w:r>
      <w:r w:rsidR="00361529" w:rsidRPr="006C44F2">
        <w:rPr>
          <w:bCs/>
          <w:sz w:val="22"/>
          <w:szCs w:val="22"/>
        </w:rPr>
        <w:tab/>
      </w:r>
      <w:r w:rsidR="00361529" w:rsidRPr="006C44F2">
        <w:rPr>
          <w:sz w:val="22"/>
          <w:szCs w:val="22"/>
          <w:lang w:val="en-US"/>
        </w:rPr>
        <w:tab/>
      </w:r>
    </w:p>
    <w:p w14:paraId="5783BED3" w14:textId="75594C01" w:rsidR="00484670" w:rsidRPr="007F7CEE" w:rsidRDefault="000A2FDA" w:rsidP="006C44F2">
      <w:pPr>
        <w:pStyle w:val="SingleTxtG"/>
        <w:numPr>
          <w:ilvl w:val="0"/>
          <w:numId w:val="18"/>
        </w:numPr>
        <w:ind w:left="0" w:right="0" w:hanging="270"/>
        <w:rPr>
          <w:sz w:val="22"/>
          <w:szCs w:val="22"/>
          <w:lang w:val="en-CA"/>
        </w:rPr>
      </w:pPr>
      <w:r w:rsidRPr="006C44F2">
        <w:rPr>
          <w:i/>
          <w:iCs/>
          <w:sz w:val="22"/>
          <w:szCs w:val="22"/>
          <w:lang w:val="en-US"/>
        </w:rPr>
        <w:t xml:space="preserve">Also </w:t>
      </w:r>
      <w:r w:rsidRPr="006C44F2">
        <w:rPr>
          <w:i/>
          <w:iCs/>
          <w:sz w:val="22"/>
          <w:szCs w:val="22"/>
        </w:rPr>
        <w:t>u</w:t>
      </w:r>
      <w:r w:rsidR="00484670" w:rsidRPr="006C44F2">
        <w:rPr>
          <w:i/>
          <w:iCs/>
          <w:sz w:val="22"/>
          <w:szCs w:val="22"/>
        </w:rPr>
        <w:t>rges</w:t>
      </w:r>
      <w:r w:rsidR="00484670" w:rsidRPr="006C44F2">
        <w:rPr>
          <w:sz w:val="22"/>
          <w:szCs w:val="22"/>
        </w:rPr>
        <w:t xml:space="preserve"> States to develop, support and protect an enabling environment for </w:t>
      </w:r>
      <w:r w:rsidR="00484670" w:rsidRPr="006C44F2">
        <w:rPr>
          <w:sz w:val="22"/>
          <w:szCs w:val="22"/>
          <w:lang w:val="en-US"/>
        </w:rPr>
        <w:t>the full participation of women</w:t>
      </w:r>
      <w:r w:rsidR="00723419">
        <w:rPr>
          <w:sz w:val="22"/>
          <w:szCs w:val="22"/>
          <w:lang w:val="en-US"/>
        </w:rPr>
        <w:t>’</w:t>
      </w:r>
      <w:r w:rsidR="00484670" w:rsidRPr="006C44F2">
        <w:rPr>
          <w:sz w:val="22"/>
          <w:szCs w:val="22"/>
          <w:lang w:val="en-US"/>
        </w:rPr>
        <w:t xml:space="preserve">s civil society organizations and women human rights defenders in the creation, design and implementation of all legislation and policies relevant for substantive gender equality, as well as when adopting and implementing good practices conducive for the sustainable application of equality and empowerment measures for women and girls, and </w:t>
      </w:r>
      <w:r w:rsidR="00484670" w:rsidRPr="006C44F2">
        <w:rPr>
          <w:sz w:val="22"/>
          <w:szCs w:val="22"/>
        </w:rPr>
        <w:t xml:space="preserve">also to consider the application of the good practices framework for the creation and maintenance of a safe and enabling environment for civil society developed in the report of the </w:t>
      </w:r>
      <w:r w:rsidR="008D050A" w:rsidRPr="006C44F2">
        <w:rPr>
          <w:sz w:val="22"/>
          <w:szCs w:val="22"/>
        </w:rPr>
        <w:t xml:space="preserve">United Nations </w:t>
      </w:r>
      <w:r w:rsidR="00484670" w:rsidRPr="006C44F2">
        <w:rPr>
          <w:sz w:val="22"/>
          <w:szCs w:val="22"/>
        </w:rPr>
        <w:t>High Commissioner</w:t>
      </w:r>
      <w:r w:rsidR="008D050A" w:rsidRPr="006C44F2">
        <w:rPr>
          <w:sz w:val="22"/>
          <w:szCs w:val="22"/>
        </w:rPr>
        <w:t xml:space="preserve"> for Human Rights</w:t>
      </w:r>
      <w:r w:rsidR="00BB7EF2" w:rsidRPr="006C44F2">
        <w:rPr>
          <w:sz w:val="22"/>
          <w:szCs w:val="22"/>
        </w:rPr>
        <w:t>,</w:t>
      </w:r>
      <w:r w:rsidR="003E592A" w:rsidRPr="006C44F2">
        <w:rPr>
          <w:rStyle w:val="FootnoteReference"/>
          <w:sz w:val="22"/>
          <w:szCs w:val="22"/>
        </w:rPr>
        <w:footnoteReference w:id="8"/>
      </w:r>
      <w:r w:rsidR="00484670" w:rsidRPr="006C44F2">
        <w:rPr>
          <w:sz w:val="22"/>
          <w:szCs w:val="22"/>
        </w:rPr>
        <w:t xml:space="preserve"> with a gender-responsive perspective that takes into account the unique position and challenges faced by women human rights defenders;</w:t>
      </w:r>
      <w:r w:rsidR="0053134C" w:rsidRPr="006C44F2">
        <w:rPr>
          <w:sz w:val="22"/>
          <w:szCs w:val="22"/>
        </w:rPr>
        <w:t xml:space="preserve"> (</w:t>
      </w:r>
      <w:r w:rsidR="0053134C" w:rsidRPr="006C44F2">
        <w:rPr>
          <w:sz w:val="22"/>
          <w:szCs w:val="22"/>
          <w:lang w:val="en-US"/>
        </w:rPr>
        <w:t>HRC 35/18, OP13)</w:t>
      </w:r>
    </w:p>
    <w:p w14:paraId="1F0BCD9E" w14:textId="77777777" w:rsidR="007F7CEE" w:rsidRPr="006C44F2" w:rsidRDefault="007F7CEE" w:rsidP="007F7CEE">
      <w:pPr>
        <w:pStyle w:val="SingleTxtG"/>
        <w:spacing w:after="0" w:line="240" w:lineRule="auto"/>
        <w:ind w:left="0" w:right="0"/>
        <w:rPr>
          <w:sz w:val="22"/>
          <w:szCs w:val="22"/>
          <w:lang w:val="en-CA"/>
        </w:rPr>
      </w:pPr>
    </w:p>
    <w:p w14:paraId="37656438" w14:textId="13E4876E" w:rsidR="00446CE7" w:rsidRDefault="38FE22D8" w:rsidP="00446CE7">
      <w:pPr>
        <w:pStyle w:val="SingleTxtG"/>
        <w:numPr>
          <w:ilvl w:val="0"/>
          <w:numId w:val="18"/>
        </w:numPr>
        <w:ind w:left="0" w:right="0" w:hanging="360"/>
        <w:rPr>
          <w:sz w:val="22"/>
          <w:szCs w:val="22"/>
          <w:lang w:val="en-US"/>
        </w:rPr>
      </w:pPr>
      <w:r w:rsidRPr="006C44F2">
        <w:rPr>
          <w:i/>
          <w:iCs/>
          <w:sz w:val="22"/>
          <w:szCs w:val="22"/>
          <w:lang w:val="en-US"/>
        </w:rPr>
        <w:t>Calls upon</w:t>
      </w:r>
      <w:r w:rsidRPr="006C44F2">
        <w:rPr>
          <w:sz w:val="22"/>
          <w:szCs w:val="22"/>
          <w:lang w:val="en-US"/>
        </w:rPr>
        <w:t xml:space="preserve"> all States to continue developing and enhancing standards and methodologies at the national and international levels to improve the collection, analysis and dissemination of gender statistics and sex- and age-disaggregated data by strengthening national statistical capacity, including by enhancing the mobilization, from all sources, of financial and technical assistance for enabling developing countries to systematically design, collect and ensure access to high-quality, reliable and timely data disaggregated by sex, age, income and other characteristics relevant in national contexts; (HRC 35/18, OP14)</w:t>
      </w:r>
    </w:p>
    <w:p w14:paraId="412C54F6" w14:textId="77777777" w:rsidR="007F7CEE" w:rsidRDefault="007F7CEE" w:rsidP="007F7CEE">
      <w:pPr>
        <w:pStyle w:val="SingleTxtG"/>
        <w:spacing w:after="0" w:line="240" w:lineRule="auto"/>
        <w:ind w:left="0" w:right="0"/>
        <w:rPr>
          <w:sz w:val="22"/>
          <w:szCs w:val="22"/>
          <w:lang w:val="en-US"/>
        </w:rPr>
      </w:pPr>
    </w:p>
    <w:p w14:paraId="7D2E7785" w14:textId="7FF07CF9" w:rsidR="00484670" w:rsidRDefault="38FE22D8" w:rsidP="00446CE7">
      <w:pPr>
        <w:pStyle w:val="SingleTxtG"/>
        <w:numPr>
          <w:ilvl w:val="0"/>
          <w:numId w:val="18"/>
        </w:numPr>
        <w:ind w:left="0" w:right="0" w:hanging="360"/>
        <w:rPr>
          <w:sz w:val="22"/>
          <w:szCs w:val="22"/>
          <w:lang w:val="en-US"/>
        </w:rPr>
      </w:pPr>
      <w:r w:rsidRPr="00446CE7">
        <w:rPr>
          <w:i/>
          <w:iCs/>
          <w:sz w:val="22"/>
          <w:szCs w:val="22"/>
          <w:lang w:val="en-US"/>
        </w:rPr>
        <w:t>Also calls upon</w:t>
      </w:r>
      <w:r w:rsidRPr="00446CE7">
        <w:rPr>
          <w:sz w:val="22"/>
          <w:szCs w:val="22"/>
          <w:lang w:val="en-US"/>
        </w:rPr>
        <w:t xml:space="preserve"> all States to cooperate with and assist the Working Group in its task, supply all necessary available information requested by it and give serious consideration to responding </w:t>
      </w:r>
      <w:proofErr w:type="spellStart"/>
      <w:r w:rsidRPr="00446CE7">
        <w:rPr>
          <w:sz w:val="22"/>
          <w:szCs w:val="22"/>
          <w:lang w:val="en-US"/>
        </w:rPr>
        <w:t>favourably</w:t>
      </w:r>
      <w:proofErr w:type="spellEnd"/>
      <w:r w:rsidRPr="00446CE7">
        <w:rPr>
          <w:sz w:val="22"/>
          <w:szCs w:val="22"/>
          <w:lang w:val="en-US"/>
        </w:rPr>
        <w:t xml:space="preserve"> to its requests to visit their country to enable it to fulfil its mandate effectively; (HRC 35/18, OP15)</w:t>
      </w:r>
    </w:p>
    <w:p w14:paraId="1432487A" w14:textId="77777777" w:rsidR="007F7CEE" w:rsidRDefault="007F7CEE" w:rsidP="007F7CEE">
      <w:pPr>
        <w:pStyle w:val="ListParagraph"/>
        <w:rPr>
          <w:lang w:val="en-US"/>
        </w:rPr>
      </w:pPr>
    </w:p>
    <w:p w14:paraId="608B507A" w14:textId="4C8A5E13" w:rsidR="00484670" w:rsidRDefault="38FE22D8" w:rsidP="00446CE7">
      <w:pPr>
        <w:pStyle w:val="SingleTxtG"/>
        <w:numPr>
          <w:ilvl w:val="0"/>
          <w:numId w:val="18"/>
        </w:numPr>
        <w:ind w:left="0" w:right="0" w:hanging="360"/>
        <w:rPr>
          <w:sz w:val="22"/>
          <w:szCs w:val="22"/>
          <w:lang w:val="en-US"/>
        </w:rPr>
      </w:pPr>
      <w:r w:rsidRPr="006C44F2">
        <w:rPr>
          <w:i/>
          <w:iCs/>
          <w:sz w:val="22"/>
          <w:szCs w:val="22"/>
          <w:lang w:val="en-US"/>
        </w:rPr>
        <w:t>Invites</w:t>
      </w:r>
      <w:r w:rsidRPr="006C44F2">
        <w:rPr>
          <w:sz w:val="22"/>
          <w:szCs w:val="22"/>
          <w:lang w:val="en-US"/>
        </w:rPr>
        <w:t xml:space="preserve"> relevant United Nations agencies, funds and </w:t>
      </w:r>
      <w:proofErr w:type="spellStart"/>
      <w:r w:rsidRPr="006C44F2">
        <w:rPr>
          <w:sz w:val="22"/>
          <w:szCs w:val="22"/>
          <w:lang w:val="en-US"/>
        </w:rPr>
        <w:t>programmes</w:t>
      </w:r>
      <w:proofErr w:type="spellEnd"/>
      <w:r w:rsidRPr="006C44F2">
        <w:rPr>
          <w:sz w:val="22"/>
          <w:szCs w:val="22"/>
          <w:lang w:val="en-US"/>
        </w:rPr>
        <w:t>, in particular the United Nations Entity for Gender Equality and the Empowerment of Women, the treaty bodies and other special procedures, within their respective mandates, and civil society actors, including non-governmental organizations, as well as the private sector, to cooperate fully with the Working Group in the fulfilment of its mandate, and requests the Working Group to continue engaging with the Commission on the Status of Women, including by participating in its work and formally reporting; (HRC 35/18, OP16)</w:t>
      </w:r>
    </w:p>
    <w:p w14:paraId="6CB19CC4" w14:textId="77777777" w:rsidR="007F7CEE" w:rsidRDefault="007F7CEE" w:rsidP="007F7CEE">
      <w:pPr>
        <w:pStyle w:val="ListParagraph"/>
        <w:rPr>
          <w:lang w:val="en-US"/>
        </w:rPr>
      </w:pPr>
    </w:p>
    <w:p w14:paraId="614B0E4C" w14:textId="6B0AFEA1" w:rsidR="00EE1CF0" w:rsidRPr="007F7CEE" w:rsidRDefault="38FE22D8" w:rsidP="007F7CEE">
      <w:pPr>
        <w:pStyle w:val="SingleTxtG"/>
        <w:numPr>
          <w:ilvl w:val="0"/>
          <w:numId w:val="18"/>
        </w:numPr>
        <w:spacing w:after="0"/>
        <w:ind w:left="0" w:right="29" w:hanging="360"/>
        <w:jc w:val="left"/>
        <w:rPr>
          <w:rFonts w:eastAsia="SimSun"/>
          <w:u w:val="single"/>
        </w:rPr>
      </w:pPr>
      <w:r w:rsidRPr="007F7CEE">
        <w:rPr>
          <w:i/>
          <w:iCs/>
          <w:sz w:val="22"/>
          <w:szCs w:val="22"/>
        </w:rPr>
        <w:t>Decides</w:t>
      </w:r>
      <w:r w:rsidRPr="007F7CEE">
        <w:rPr>
          <w:sz w:val="22"/>
          <w:szCs w:val="22"/>
        </w:rPr>
        <w:t xml:space="preserve"> to continue its consideration of this issue in conformity with its annual programme of work.</w:t>
      </w:r>
    </w:p>
    <w:sectPr w:rsidR="00EE1CF0" w:rsidRPr="007F7CEE" w:rsidSect="004971CB">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440" w:right="1440" w:bottom="1440" w:left="1440" w:header="900"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0AB99" w14:textId="77777777" w:rsidR="00585DDC" w:rsidRDefault="00585DDC"/>
  </w:endnote>
  <w:endnote w:type="continuationSeparator" w:id="0">
    <w:p w14:paraId="306A1585" w14:textId="77777777" w:rsidR="00585DDC" w:rsidRDefault="00585DDC"/>
  </w:endnote>
  <w:endnote w:type="continuationNotice" w:id="1">
    <w:p w14:paraId="51660D00" w14:textId="77777777" w:rsidR="00585DDC" w:rsidRDefault="00585D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39T30Lfz">
    <w:altName w:val="Symbol"/>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52057" w14:textId="39E8CC0F" w:rsidR="00C42278" w:rsidRPr="00EE2A77" w:rsidRDefault="00C42278" w:rsidP="00EE2A77">
    <w:pPr>
      <w:pStyle w:val="Footer"/>
      <w:tabs>
        <w:tab w:val="right" w:pos="9638"/>
      </w:tabs>
    </w:pPr>
    <w:r w:rsidRPr="00EE2A77">
      <w:rPr>
        <w:b/>
        <w:sz w:val="18"/>
      </w:rPr>
      <w:fldChar w:fldCharType="begin"/>
    </w:r>
    <w:r w:rsidRPr="00EE2A77">
      <w:rPr>
        <w:b/>
        <w:sz w:val="18"/>
      </w:rPr>
      <w:instrText xml:space="preserve"> PAGE  \* MERGEFORMAT </w:instrText>
    </w:r>
    <w:r w:rsidRPr="00EE2A77">
      <w:rPr>
        <w:b/>
        <w:sz w:val="18"/>
      </w:rPr>
      <w:fldChar w:fldCharType="separate"/>
    </w:r>
    <w:r w:rsidR="00FC624F">
      <w:rPr>
        <w:b/>
        <w:noProof/>
        <w:sz w:val="18"/>
      </w:rPr>
      <w:t>6</w:t>
    </w:r>
    <w:r w:rsidRPr="00EE2A77">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4E061" w14:textId="66F89BB0" w:rsidR="00C42278" w:rsidRPr="00EE2A77" w:rsidRDefault="00C42278" w:rsidP="00EE2A77">
    <w:pPr>
      <w:pStyle w:val="Footer"/>
      <w:tabs>
        <w:tab w:val="right" w:pos="9638"/>
      </w:tabs>
      <w:rPr>
        <w:b/>
        <w:sz w:val="18"/>
      </w:rPr>
    </w:pPr>
    <w:r>
      <w:tab/>
    </w:r>
    <w:r w:rsidRPr="00EE2A77">
      <w:rPr>
        <w:b/>
        <w:sz w:val="18"/>
      </w:rPr>
      <w:fldChar w:fldCharType="begin"/>
    </w:r>
    <w:r w:rsidRPr="00EE2A77">
      <w:rPr>
        <w:b/>
        <w:sz w:val="18"/>
      </w:rPr>
      <w:instrText xml:space="preserve"> PAGE  \* MERGEFORMAT </w:instrText>
    </w:r>
    <w:r w:rsidRPr="00EE2A77">
      <w:rPr>
        <w:b/>
        <w:sz w:val="18"/>
      </w:rPr>
      <w:fldChar w:fldCharType="separate"/>
    </w:r>
    <w:r w:rsidR="00FC624F">
      <w:rPr>
        <w:b/>
        <w:noProof/>
        <w:sz w:val="18"/>
      </w:rPr>
      <w:t>5</w:t>
    </w:r>
    <w:r w:rsidRPr="00EE2A77">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CE3B3" w14:textId="1D17AA6B" w:rsidR="00DC286B" w:rsidRPr="00DC286B" w:rsidRDefault="00DC286B" w:rsidP="00DC286B">
    <w:pPr>
      <w:pStyle w:val="Footer"/>
      <w:ind w:right="1134"/>
      <w:rPr>
        <w:rFonts w:ascii="C39T30Lfz" w:hAnsi="C39T30Lfz"/>
        <w:sz w:val="5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90BEC" w14:textId="77777777" w:rsidR="00585DDC" w:rsidRPr="000B175B" w:rsidRDefault="00585DDC" w:rsidP="000B175B">
      <w:pPr>
        <w:tabs>
          <w:tab w:val="right" w:pos="2155"/>
        </w:tabs>
        <w:spacing w:after="80"/>
        <w:ind w:left="680"/>
        <w:rPr>
          <w:u w:val="single"/>
        </w:rPr>
      </w:pPr>
      <w:r>
        <w:rPr>
          <w:u w:val="single"/>
        </w:rPr>
        <w:tab/>
      </w:r>
    </w:p>
  </w:footnote>
  <w:footnote w:type="continuationSeparator" w:id="0">
    <w:p w14:paraId="15FDB747" w14:textId="77777777" w:rsidR="00585DDC" w:rsidRPr="00FC68B7" w:rsidRDefault="00585DDC" w:rsidP="00FC68B7">
      <w:pPr>
        <w:tabs>
          <w:tab w:val="left" w:pos="2155"/>
        </w:tabs>
        <w:spacing w:after="80"/>
        <w:ind w:left="680"/>
        <w:rPr>
          <w:u w:val="single"/>
        </w:rPr>
      </w:pPr>
      <w:r>
        <w:rPr>
          <w:u w:val="single"/>
        </w:rPr>
        <w:tab/>
      </w:r>
    </w:p>
  </w:footnote>
  <w:footnote w:type="continuationNotice" w:id="1">
    <w:p w14:paraId="0B0A01DB" w14:textId="77777777" w:rsidR="00585DDC" w:rsidRDefault="00585DDC"/>
  </w:footnote>
  <w:footnote w:id="2">
    <w:p w14:paraId="66D07D1D" w14:textId="6D847029" w:rsidR="00B50D48" w:rsidRPr="00234270" w:rsidRDefault="00B50D48" w:rsidP="05838D85">
      <w:pPr>
        <w:pStyle w:val="FootnoteText"/>
        <w:ind w:hanging="144"/>
        <w:rPr>
          <w:lang w:val="en-US"/>
        </w:rPr>
      </w:pPr>
      <w:r>
        <w:rPr>
          <w:rStyle w:val="FootnoteReference"/>
        </w:rPr>
        <w:footnoteRef/>
      </w:r>
      <w:r>
        <w:t xml:space="preserve"> </w:t>
      </w:r>
      <w:r w:rsidRPr="00234270">
        <w:rPr>
          <w:lang w:val="en-US"/>
        </w:rPr>
        <w:t>Conventions number 100 (equal remuneration), 111 (discrimination in employment and occupation), 156 (workers with family responsibilities), 177 (home workers), 183 (maternity protection), 189 (domestic workers), 97 and 143 (migrant workers)</w:t>
      </w:r>
    </w:p>
  </w:footnote>
  <w:footnote w:id="3">
    <w:p w14:paraId="048F5354" w14:textId="6620D259" w:rsidR="00E373AB" w:rsidRPr="00821FCA" w:rsidRDefault="00E373AB" w:rsidP="004947DE">
      <w:pPr>
        <w:pStyle w:val="FootnoteText"/>
        <w:widowControl w:val="0"/>
        <w:tabs>
          <w:tab w:val="clear" w:pos="1021"/>
          <w:tab w:val="right" w:pos="1020"/>
        </w:tabs>
        <w:ind w:hanging="144"/>
      </w:pPr>
      <w:r>
        <w:tab/>
      </w:r>
      <w:r>
        <w:rPr>
          <w:rStyle w:val="FootnoteReference"/>
        </w:rPr>
        <w:footnoteRef/>
      </w:r>
      <w:r>
        <w:tab/>
      </w:r>
      <w:r w:rsidRPr="00E373AB">
        <w:t>General Assembly resolution 70/1.</w:t>
      </w:r>
    </w:p>
  </w:footnote>
  <w:footnote w:id="4">
    <w:p w14:paraId="097C6023" w14:textId="143299DE" w:rsidR="00E373AB" w:rsidRPr="00821FCA" w:rsidRDefault="00E373AB" w:rsidP="004947DE">
      <w:pPr>
        <w:pStyle w:val="FootnoteText"/>
        <w:widowControl w:val="0"/>
        <w:tabs>
          <w:tab w:val="clear" w:pos="1021"/>
          <w:tab w:val="right" w:pos="1020"/>
        </w:tabs>
        <w:ind w:hanging="144"/>
      </w:pPr>
      <w:r>
        <w:tab/>
      </w:r>
      <w:r>
        <w:rPr>
          <w:rStyle w:val="FootnoteReference"/>
        </w:rPr>
        <w:footnoteRef/>
      </w:r>
      <w:r>
        <w:tab/>
      </w:r>
      <w:r w:rsidRPr="00E373AB">
        <w:t>General Assembly resolution 69/313, annex.</w:t>
      </w:r>
    </w:p>
  </w:footnote>
  <w:footnote w:id="5">
    <w:p w14:paraId="351032C5" w14:textId="7793EC25" w:rsidR="05838D85" w:rsidRDefault="05838D85" w:rsidP="05838D85">
      <w:pPr>
        <w:pStyle w:val="FootnoteText"/>
        <w:ind w:hanging="144"/>
      </w:pPr>
      <w:r w:rsidRPr="05838D85">
        <w:rPr>
          <w:rStyle w:val="FootnoteReference"/>
        </w:rPr>
        <w:footnoteRef/>
      </w:r>
      <w:r>
        <w:t>A/HRC38/46. Report of the Working Group on the issue of discrimination against women in law and in practice.</w:t>
      </w:r>
    </w:p>
  </w:footnote>
  <w:footnote w:id="6">
    <w:p w14:paraId="67876939" w14:textId="77777777" w:rsidR="5220209A" w:rsidRDefault="5220209A" w:rsidP="5220209A">
      <w:pPr>
        <w:pStyle w:val="FootnoteText"/>
        <w:ind w:hanging="144"/>
        <w:rPr>
          <w:lang w:val="en-US"/>
        </w:rPr>
      </w:pPr>
      <w:r w:rsidRPr="5220209A">
        <w:rPr>
          <w:rStyle w:val="FootnoteReference"/>
        </w:rPr>
        <w:footnoteRef/>
      </w:r>
      <w:r>
        <w:t xml:space="preserve"> </w:t>
      </w:r>
      <w:r w:rsidRPr="5220209A">
        <w:rPr>
          <w:lang w:val="en-US"/>
        </w:rPr>
        <w:t xml:space="preserve">Hereinafter “the Working Group”. </w:t>
      </w:r>
    </w:p>
  </w:footnote>
  <w:footnote w:id="7">
    <w:p w14:paraId="22B1B414" w14:textId="77777777" w:rsidR="5220209A" w:rsidRDefault="5220209A" w:rsidP="5220209A">
      <w:pPr>
        <w:pStyle w:val="FootnoteText"/>
        <w:ind w:hanging="144"/>
      </w:pPr>
      <w:r w:rsidRPr="5220209A">
        <w:rPr>
          <w:rStyle w:val="FootnoteReference"/>
        </w:rPr>
        <w:footnoteRef/>
      </w:r>
      <w:r>
        <w:t>A/HRC/38/46.</w:t>
      </w:r>
    </w:p>
  </w:footnote>
  <w:footnote w:id="8">
    <w:p w14:paraId="31512A13" w14:textId="53473C7B" w:rsidR="003E592A" w:rsidRPr="00072C8A" w:rsidRDefault="003E592A" w:rsidP="2442670C">
      <w:pPr>
        <w:pStyle w:val="FootnoteText"/>
        <w:widowControl w:val="0"/>
        <w:tabs>
          <w:tab w:val="clear" w:pos="1021"/>
          <w:tab w:val="right" w:pos="1020"/>
        </w:tabs>
        <w:rPr>
          <w:lang w:val="en-US"/>
        </w:rPr>
      </w:pPr>
      <w:r>
        <w:tab/>
      </w:r>
      <w:r>
        <w:rPr>
          <w:rStyle w:val="FootnoteReference"/>
        </w:rPr>
        <w:footnoteRef/>
      </w:r>
      <w:r>
        <w:tab/>
      </w:r>
      <w:r w:rsidRPr="003E592A">
        <w:t>A/HRC/32/20</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3009"/>
      <w:gridCol w:w="3009"/>
      <w:gridCol w:w="3009"/>
    </w:tblGrid>
    <w:tr w:rsidR="05838D85" w14:paraId="30DBE468" w14:textId="77777777" w:rsidTr="05838D85">
      <w:tc>
        <w:tcPr>
          <w:tcW w:w="3009" w:type="dxa"/>
        </w:tcPr>
        <w:p w14:paraId="022CCF91" w14:textId="2D5CC449" w:rsidR="05838D85" w:rsidRDefault="05838D85" w:rsidP="05838D85">
          <w:pPr>
            <w:ind w:left="-115"/>
          </w:pPr>
        </w:p>
      </w:tc>
      <w:tc>
        <w:tcPr>
          <w:tcW w:w="3009" w:type="dxa"/>
        </w:tcPr>
        <w:p w14:paraId="3B3BA222" w14:textId="525E4BCB" w:rsidR="05838D85" w:rsidRDefault="05838D85" w:rsidP="05838D85">
          <w:pPr>
            <w:jc w:val="center"/>
          </w:pPr>
        </w:p>
      </w:tc>
      <w:tc>
        <w:tcPr>
          <w:tcW w:w="3009" w:type="dxa"/>
        </w:tcPr>
        <w:p w14:paraId="210B02DD" w14:textId="215A37C2" w:rsidR="05838D85" w:rsidRDefault="05838D85" w:rsidP="05838D85">
          <w:pPr>
            <w:ind w:right="-115"/>
            <w:jc w:val="right"/>
          </w:pPr>
        </w:p>
      </w:tc>
    </w:tr>
  </w:tbl>
  <w:p w14:paraId="096F591C" w14:textId="2FF47A64" w:rsidR="05838D85" w:rsidRDefault="05838D8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4895D" w14:textId="2120AF6F" w:rsidR="00C42278" w:rsidRPr="00EE2A77" w:rsidRDefault="00C42278" w:rsidP="00EE2A77">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D2741" w14:textId="348B60A7" w:rsidR="004971CB" w:rsidRDefault="004971CB" w:rsidP="004971CB">
    <w:pPr>
      <w:pStyle w:val="Heading2"/>
      <w:jc w:val="right"/>
      <w:rPr>
        <w:lang w:val="es-MX"/>
      </w:rPr>
    </w:pPr>
    <w:r w:rsidRPr="004971CB">
      <w:rPr>
        <w:lang w:val="es-MX"/>
      </w:rPr>
      <w:t>D</w:t>
    </w:r>
    <w:r>
      <w:rPr>
        <w:lang w:val="es-MX"/>
      </w:rPr>
      <w:t xml:space="preserve">iego Ruiz </w:t>
    </w:r>
    <w:proofErr w:type="spellStart"/>
    <w:r>
      <w:rPr>
        <w:lang w:val="es-MX"/>
      </w:rPr>
      <w:t>Gayol</w:t>
    </w:r>
    <w:proofErr w:type="spellEnd"/>
    <w:r>
      <w:rPr>
        <w:lang w:val="es-MX"/>
      </w:rPr>
      <w:t xml:space="preserve"> (</w:t>
    </w:r>
    <w:proofErr w:type="spellStart"/>
    <w:r>
      <w:rPr>
        <w:lang w:val="es-MX"/>
      </w:rPr>
      <w:t>Mexico</w:t>
    </w:r>
    <w:proofErr w:type="spellEnd"/>
    <w:r>
      <w:rPr>
        <w:lang w:val="es-MX"/>
      </w:rPr>
      <w:t>)</w:t>
    </w:r>
  </w:p>
  <w:p w14:paraId="2CCB3C6E" w14:textId="5946F5B6" w:rsidR="004971CB" w:rsidRPr="004971CB" w:rsidRDefault="00585DDC" w:rsidP="004971CB">
    <w:pPr>
      <w:pStyle w:val="Heading2"/>
      <w:jc w:val="right"/>
      <w:rPr>
        <w:lang w:val="es-MX"/>
      </w:rPr>
    </w:pPr>
    <w:hyperlink r:id="rId1" w:history="1">
      <w:r w:rsidR="004971CB" w:rsidRPr="004971CB">
        <w:rPr>
          <w:rStyle w:val="Hyperlink"/>
          <w:lang w:val="es-MX"/>
        </w:rPr>
        <w:t>druiz@sre.gob.mx</w:t>
      </w:r>
    </w:hyperlink>
    <w:r w:rsidR="004971CB" w:rsidRPr="004971CB">
      <w:rPr>
        <w:lang w:val="es-MX"/>
      </w:rPr>
      <w:t xml:space="preserve"> +41 786377243</w:t>
    </w:r>
  </w:p>
  <w:p w14:paraId="176507E7" w14:textId="4AB83BC4" w:rsidR="004971CB" w:rsidRDefault="004971CB" w:rsidP="004971CB">
    <w:pPr>
      <w:jc w:val="right"/>
      <w:rPr>
        <w:lang w:val="es-MX"/>
      </w:rPr>
    </w:pPr>
    <w:r>
      <w:rPr>
        <w:lang w:val="es-MX"/>
      </w:rPr>
      <w:t>Diana Esperanza Castillo (Colombia)</w:t>
    </w:r>
  </w:p>
  <w:p w14:paraId="3CE82573" w14:textId="12E93363" w:rsidR="004971CB" w:rsidRPr="004971CB" w:rsidRDefault="00585DDC" w:rsidP="004971CB">
    <w:pPr>
      <w:jc w:val="right"/>
      <w:rPr>
        <w:lang w:val="es-MX"/>
      </w:rPr>
    </w:pPr>
    <w:hyperlink r:id="rId2" w:history="1">
      <w:r w:rsidR="004971CB" w:rsidRPr="00DD13C6">
        <w:rPr>
          <w:rStyle w:val="Hyperlink"/>
          <w:lang w:val="es-MX"/>
        </w:rPr>
        <w:t>dianaesperanza.castillo@cancilleria.gov.co</w:t>
      </w:r>
    </w:hyperlink>
    <w:r w:rsidR="004971CB">
      <w:rPr>
        <w:lang w:val="es-MX"/>
      </w:rPr>
      <w:t xml:space="preserve"> +41798539137</w:t>
    </w:r>
  </w:p>
  <w:p w14:paraId="4B918C6E" w14:textId="620F0BD1" w:rsidR="05838D85" w:rsidRPr="004971CB" w:rsidRDefault="05838D85">
    <w:pPr>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E95B0A"/>
    <w:multiLevelType w:val="hybridMultilevel"/>
    <w:tmpl w:val="B2946F30"/>
    <w:lvl w:ilvl="0" w:tplc="FFFFFFFF">
      <w:start w:val="1"/>
      <w:numFmt w:val="decimal"/>
      <w:lvlText w:val="%1."/>
      <w:lvlJc w:val="left"/>
      <w:pPr>
        <w:ind w:left="1140" w:hanging="57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15:restartNumberingAfterBreak="0">
    <w:nsid w:val="0A587A2D"/>
    <w:multiLevelType w:val="hybridMultilevel"/>
    <w:tmpl w:val="A7783498"/>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21EE1"/>
    <w:multiLevelType w:val="hybridMultilevel"/>
    <w:tmpl w:val="AAB67F24"/>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2F453A5"/>
    <w:multiLevelType w:val="hybridMultilevel"/>
    <w:tmpl w:val="384C46CA"/>
    <w:lvl w:ilvl="0" w:tplc="00ECC384">
      <w:start w:val="1"/>
      <w:numFmt w:val="lowerLetter"/>
      <w:lvlText w:val="%1."/>
      <w:lvlJc w:val="left"/>
      <w:pPr>
        <w:ind w:left="720" w:hanging="360"/>
      </w:pPr>
    </w:lvl>
    <w:lvl w:ilvl="1" w:tplc="391C690A">
      <w:start w:val="1"/>
      <w:numFmt w:val="lowerLetter"/>
      <w:lvlText w:val="%2."/>
      <w:lvlJc w:val="left"/>
      <w:pPr>
        <w:ind w:left="1440" w:hanging="360"/>
      </w:pPr>
    </w:lvl>
    <w:lvl w:ilvl="2" w:tplc="0B28729C">
      <w:start w:val="1"/>
      <w:numFmt w:val="lowerRoman"/>
      <w:lvlText w:val="%3."/>
      <w:lvlJc w:val="right"/>
      <w:pPr>
        <w:ind w:left="2160" w:hanging="180"/>
      </w:pPr>
    </w:lvl>
    <w:lvl w:ilvl="3" w:tplc="5552BDEA">
      <w:start w:val="1"/>
      <w:numFmt w:val="decimal"/>
      <w:lvlText w:val="%4."/>
      <w:lvlJc w:val="left"/>
      <w:pPr>
        <w:ind w:left="2880" w:hanging="360"/>
      </w:pPr>
    </w:lvl>
    <w:lvl w:ilvl="4" w:tplc="4A2A960C">
      <w:start w:val="1"/>
      <w:numFmt w:val="lowerLetter"/>
      <w:lvlText w:val="%5."/>
      <w:lvlJc w:val="left"/>
      <w:pPr>
        <w:ind w:left="3600" w:hanging="360"/>
      </w:pPr>
    </w:lvl>
    <w:lvl w:ilvl="5" w:tplc="D0F879D4">
      <w:start w:val="1"/>
      <w:numFmt w:val="lowerRoman"/>
      <w:lvlText w:val="%6."/>
      <w:lvlJc w:val="right"/>
      <w:pPr>
        <w:ind w:left="4320" w:hanging="180"/>
      </w:pPr>
    </w:lvl>
    <w:lvl w:ilvl="6" w:tplc="3D9873D6">
      <w:start w:val="1"/>
      <w:numFmt w:val="decimal"/>
      <w:lvlText w:val="%7."/>
      <w:lvlJc w:val="left"/>
      <w:pPr>
        <w:ind w:left="5040" w:hanging="360"/>
      </w:pPr>
    </w:lvl>
    <w:lvl w:ilvl="7" w:tplc="4C1AEA1E">
      <w:start w:val="1"/>
      <w:numFmt w:val="lowerLetter"/>
      <w:lvlText w:val="%8."/>
      <w:lvlJc w:val="left"/>
      <w:pPr>
        <w:ind w:left="5760" w:hanging="360"/>
      </w:pPr>
    </w:lvl>
    <w:lvl w:ilvl="8" w:tplc="1C56690E">
      <w:start w:val="1"/>
      <w:numFmt w:val="lowerRoman"/>
      <w:lvlText w:val="%9."/>
      <w:lvlJc w:val="right"/>
      <w:pPr>
        <w:ind w:left="6480" w:hanging="180"/>
      </w:pPr>
    </w:lvl>
  </w:abstractNum>
  <w:abstractNum w:abstractNumId="7" w15:restartNumberingAfterBreak="0">
    <w:nsid w:val="19B30F3D"/>
    <w:multiLevelType w:val="hybridMultilevel"/>
    <w:tmpl w:val="72C20A2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A82ADA"/>
    <w:multiLevelType w:val="hybridMultilevel"/>
    <w:tmpl w:val="9EDCF238"/>
    <w:lvl w:ilvl="0" w:tplc="E8826F30">
      <w:start w:val="1"/>
      <w:numFmt w:val="decimal"/>
      <w:lvlText w:val="%1."/>
      <w:lvlJc w:val="left"/>
      <w:pPr>
        <w:ind w:left="720" w:hanging="360"/>
      </w:pPr>
      <w:rPr>
        <w:rFonts w:hint="default"/>
        <w:b w:val="0"/>
        <w:i w:val="0"/>
      </w:rPr>
    </w:lvl>
    <w:lvl w:ilvl="1" w:tplc="65481858">
      <w:start w:val="1"/>
      <w:numFmt w:val="lowerLetter"/>
      <w:lvlText w:val="%2."/>
      <w:lvlJc w:val="left"/>
      <w:pPr>
        <w:ind w:left="1440" w:hanging="360"/>
      </w:pPr>
      <w:rPr>
        <w:b w:val="0"/>
        <w:strike w:val="0"/>
      </w:rPr>
    </w:lvl>
    <w:lvl w:ilvl="2" w:tplc="B0E262EE">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73056"/>
    <w:multiLevelType w:val="hybridMultilevel"/>
    <w:tmpl w:val="B2946F30"/>
    <w:lvl w:ilvl="0" w:tplc="C088D706">
      <w:start w:val="1"/>
      <w:numFmt w:val="decimal"/>
      <w:lvlText w:val="%1."/>
      <w:lvlJc w:val="left"/>
      <w:pPr>
        <w:ind w:left="1140" w:hanging="570"/>
      </w:pPr>
      <w:rPr>
        <w:rFonts w:hint="default"/>
      </w:r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15:restartNumberingAfterBreak="0">
    <w:nsid w:val="30B83536"/>
    <w:multiLevelType w:val="hybridMultilevel"/>
    <w:tmpl w:val="AAB67F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346917"/>
    <w:multiLevelType w:val="hybridMultilevel"/>
    <w:tmpl w:val="A36E2D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4D417167"/>
    <w:multiLevelType w:val="hybridMultilevel"/>
    <w:tmpl w:val="B7420E9E"/>
    <w:lvl w:ilvl="0" w:tplc="153CE2B0">
      <w:start w:val="1"/>
      <w:numFmt w:val="lowerLetter"/>
      <w:lvlText w:val="%1."/>
      <w:lvlJc w:val="left"/>
      <w:pPr>
        <w:ind w:left="720" w:hanging="360"/>
      </w:pPr>
    </w:lvl>
    <w:lvl w:ilvl="1" w:tplc="07D2603C">
      <w:start w:val="1"/>
      <w:numFmt w:val="lowerLetter"/>
      <w:lvlText w:val="%2."/>
      <w:lvlJc w:val="left"/>
      <w:pPr>
        <w:ind w:left="1440" w:hanging="360"/>
      </w:pPr>
    </w:lvl>
    <w:lvl w:ilvl="2" w:tplc="79FAD526">
      <w:start w:val="1"/>
      <w:numFmt w:val="lowerRoman"/>
      <w:lvlText w:val="%3."/>
      <w:lvlJc w:val="right"/>
      <w:pPr>
        <w:ind w:left="2160" w:hanging="180"/>
      </w:pPr>
    </w:lvl>
    <w:lvl w:ilvl="3" w:tplc="A7502246">
      <w:start w:val="1"/>
      <w:numFmt w:val="decimal"/>
      <w:lvlText w:val="%4."/>
      <w:lvlJc w:val="left"/>
      <w:pPr>
        <w:ind w:left="2880" w:hanging="360"/>
      </w:pPr>
    </w:lvl>
    <w:lvl w:ilvl="4" w:tplc="360E37EA">
      <w:start w:val="1"/>
      <w:numFmt w:val="lowerLetter"/>
      <w:lvlText w:val="%5."/>
      <w:lvlJc w:val="left"/>
      <w:pPr>
        <w:ind w:left="3600" w:hanging="360"/>
      </w:pPr>
    </w:lvl>
    <w:lvl w:ilvl="5" w:tplc="5A96BC1E">
      <w:start w:val="1"/>
      <w:numFmt w:val="lowerRoman"/>
      <w:lvlText w:val="%6."/>
      <w:lvlJc w:val="right"/>
      <w:pPr>
        <w:ind w:left="4320" w:hanging="180"/>
      </w:pPr>
    </w:lvl>
    <w:lvl w:ilvl="6" w:tplc="486499D6">
      <w:start w:val="1"/>
      <w:numFmt w:val="decimal"/>
      <w:lvlText w:val="%7."/>
      <w:lvlJc w:val="left"/>
      <w:pPr>
        <w:ind w:left="5040" w:hanging="360"/>
      </w:pPr>
    </w:lvl>
    <w:lvl w:ilvl="7" w:tplc="0FF48926">
      <w:start w:val="1"/>
      <w:numFmt w:val="lowerLetter"/>
      <w:lvlText w:val="%8."/>
      <w:lvlJc w:val="left"/>
      <w:pPr>
        <w:ind w:left="5760" w:hanging="360"/>
      </w:pPr>
    </w:lvl>
    <w:lvl w:ilvl="8" w:tplc="E5AE05E0">
      <w:start w:val="1"/>
      <w:numFmt w:val="lowerRoman"/>
      <w:lvlText w:val="%9."/>
      <w:lvlJc w:val="right"/>
      <w:pPr>
        <w:ind w:left="6480" w:hanging="180"/>
      </w:pPr>
    </w:lvl>
  </w:abstractNum>
  <w:abstractNum w:abstractNumId="15" w15:restartNumberingAfterBreak="0">
    <w:nsid w:val="4DD64AE3"/>
    <w:multiLevelType w:val="hybridMultilevel"/>
    <w:tmpl w:val="63343348"/>
    <w:lvl w:ilvl="0" w:tplc="C2D84D64">
      <w:start w:val="1"/>
      <w:numFmt w:val="lowerLetter"/>
      <w:lvlText w:val="%1."/>
      <w:lvlJc w:val="left"/>
      <w:pPr>
        <w:ind w:left="720" w:hanging="360"/>
      </w:pPr>
    </w:lvl>
    <w:lvl w:ilvl="1" w:tplc="8DE076FE">
      <w:start w:val="1"/>
      <w:numFmt w:val="lowerLetter"/>
      <w:lvlText w:val="%2."/>
      <w:lvlJc w:val="left"/>
      <w:pPr>
        <w:ind w:left="1440" w:hanging="360"/>
      </w:pPr>
    </w:lvl>
    <w:lvl w:ilvl="2" w:tplc="588679B0">
      <w:start w:val="1"/>
      <w:numFmt w:val="lowerRoman"/>
      <w:lvlText w:val="%3."/>
      <w:lvlJc w:val="right"/>
      <w:pPr>
        <w:ind w:left="2160" w:hanging="180"/>
      </w:pPr>
    </w:lvl>
    <w:lvl w:ilvl="3" w:tplc="E01A040A">
      <w:start w:val="1"/>
      <w:numFmt w:val="decimal"/>
      <w:lvlText w:val="%4."/>
      <w:lvlJc w:val="left"/>
      <w:pPr>
        <w:ind w:left="2880" w:hanging="360"/>
      </w:pPr>
    </w:lvl>
    <w:lvl w:ilvl="4" w:tplc="48D47D3C">
      <w:start w:val="1"/>
      <w:numFmt w:val="lowerLetter"/>
      <w:lvlText w:val="%5."/>
      <w:lvlJc w:val="left"/>
      <w:pPr>
        <w:ind w:left="3600" w:hanging="360"/>
      </w:pPr>
    </w:lvl>
    <w:lvl w:ilvl="5" w:tplc="F3243152">
      <w:start w:val="1"/>
      <w:numFmt w:val="lowerRoman"/>
      <w:lvlText w:val="%6."/>
      <w:lvlJc w:val="right"/>
      <w:pPr>
        <w:ind w:left="4320" w:hanging="180"/>
      </w:pPr>
    </w:lvl>
    <w:lvl w:ilvl="6" w:tplc="9566F854">
      <w:start w:val="1"/>
      <w:numFmt w:val="decimal"/>
      <w:lvlText w:val="%7."/>
      <w:lvlJc w:val="left"/>
      <w:pPr>
        <w:ind w:left="5040" w:hanging="360"/>
      </w:pPr>
    </w:lvl>
    <w:lvl w:ilvl="7" w:tplc="647C5ADA">
      <w:start w:val="1"/>
      <w:numFmt w:val="lowerLetter"/>
      <w:lvlText w:val="%8."/>
      <w:lvlJc w:val="left"/>
      <w:pPr>
        <w:ind w:left="5760" w:hanging="360"/>
      </w:pPr>
    </w:lvl>
    <w:lvl w:ilvl="8" w:tplc="C5840FB2">
      <w:start w:val="1"/>
      <w:numFmt w:val="lowerRoman"/>
      <w:lvlText w:val="%9."/>
      <w:lvlJc w:val="right"/>
      <w:pPr>
        <w:ind w:left="6480" w:hanging="180"/>
      </w:pPr>
    </w:lvl>
  </w:abstractNum>
  <w:abstractNum w:abstractNumId="1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D70DD"/>
    <w:multiLevelType w:val="hybridMultilevel"/>
    <w:tmpl w:val="3B3E0B3E"/>
    <w:lvl w:ilvl="0" w:tplc="B302DB68">
      <w:start w:val="1"/>
      <w:numFmt w:val="lowerLetter"/>
      <w:lvlText w:val="%1."/>
      <w:lvlJc w:val="left"/>
      <w:pPr>
        <w:ind w:left="720" w:hanging="360"/>
      </w:pPr>
    </w:lvl>
    <w:lvl w:ilvl="1" w:tplc="D05E1F84">
      <w:start w:val="1"/>
      <w:numFmt w:val="lowerLetter"/>
      <w:lvlText w:val="%2."/>
      <w:lvlJc w:val="left"/>
      <w:pPr>
        <w:ind w:left="1440" w:hanging="360"/>
      </w:pPr>
    </w:lvl>
    <w:lvl w:ilvl="2" w:tplc="8A7AD1A0">
      <w:start w:val="1"/>
      <w:numFmt w:val="lowerRoman"/>
      <w:lvlText w:val="%3."/>
      <w:lvlJc w:val="right"/>
      <w:pPr>
        <w:ind w:left="2160" w:hanging="180"/>
      </w:pPr>
    </w:lvl>
    <w:lvl w:ilvl="3" w:tplc="A1B4247C">
      <w:start w:val="1"/>
      <w:numFmt w:val="decimal"/>
      <w:lvlText w:val="%4."/>
      <w:lvlJc w:val="left"/>
      <w:pPr>
        <w:ind w:left="2880" w:hanging="360"/>
      </w:pPr>
    </w:lvl>
    <w:lvl w:ilvl="4" w:tplc="32741C84">
      <w:start w:val="1"/>
      <w:numFmt w:val="lowerLetter"/>
      <w:lvlText w:val="%5."/>
      <w:lvlJc w:val="left"/>
      <w:pPr>
        <w:ind w:left="3600" w:hanging="360"/>
      </w:pPr>
    </w:lvl>
    <w:lvl w:ilvl="5" w:tplc="708E72CE">
      <w:start w:val="1"/>
      <w:numFmt w:val="lowerRoman"/>
      <w:lvlText w:val="%6."/>
      <w:lvlJc w:val="right"/>
      <w:pPr>
        <w:ind w:left="4320" w:hanging="180"/>
      </w:pPr>
    </w:lvl>
    <w:lvl w:ilvl="6" w:tplc="CF9403AA">
      <w:start w:val="1"/>
      <w:numFmt w:val="decimal"/>
      <w:lvlText w:val="%7."/>
      <w:lvlJc w:val="left"/>
      <w:pPr>
        <w:ind w:left="5040" w:hanging="360"/>
      </w:pPr>
    </w:lvl>
    <w:lvl w:ilvl="7" w:tplc="F254370C">
      <w:start w:val="1"/>
      <w:numFmt w:val="lowerLetter"/>
      <w:lvlText w:val="%8."/>
      <w:lvlJc w:val="left"/>
      <w:pPr>
        <w:ind w:left="5760" w:hanging="360"/>
      </w:pPr>
    </w:lvl>
    <w:lvl w:ilvl="8" w:tplc="568240D6">
      <w:start w:val="1"/>
      <w:numFmt w:val="lowerRoman"/>
      <w:lvlText w:val="%9."/>
      <w:lvlJc w:val="right"/>
      <w:pPr>
        <w:ind w:left="6480" w:hanging="180"/>
      </w:pPr>
    </w:lvl>
  </w:abstractNum>
  <w:abstractNum w:abstractNumId="18"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6F710BED"/>
    <w:multiLevelType w:val="hybridMultilevel"/>
    <w:tmpl w:val="4B0EACEA"/>
    <w:lvl w:ilvl="0" w:tplc="1116E080">
      <w:start w:val="1"/>
      <w:numFmt w:val="lowerLetter"/>
      <w:lvlText w:val="%1."/>
      <w:lvlJc w:val="left"/>
      <w:pPr>
        <w:ind w:left="720" w:hanging="360"/>
      </w:pPr>
    </w:lvl>
    <w:lvl w:ilvl="1" w:tplc="3EBE5F00">
      <w:start w:val="1"/>
      <w:numFmt w:val="lowerLetter"/>
      <w:lvlText w:val="%2."/>
      <w:lvlJc w:val="left"/>
      <w:pPr>
        <w:ind w:left="1440" w:hanging="360"/>
      </w:pPr>
    </w:lvl>
    <w:lvl w:ilvl="2" w:tplc="DC6A5010">
      <w:start w:val="1"/>
      <w:numFmt w:val="lowerRoman"/>
      <w:lvlText w:val="%3."/>
      <w:lvlJc w:val="right"/>
      <w:pPr>
        <w:ind w:left="2160" w:hanging="180"/>
      </w:pPr>
    </w:lvl>
    <w:lvl w:ilvl="3" w:tplc="D576A710">
      <w:start w:val="1"/>
      <w:numFmt w:val="decimal"/>
      <w:lvlText w:val="%4."/>
      <w:lvlJc w:val="left"/>
      <w:pPr>
        <w:ind w:left="2880" w:hanging="360"/>
      </w:pPr>
    </w:lvl>
    <w:lvl w:ilvl="4" w:tplc="AD5E72FC">
      <w:start w:val="1"/>
      <w:numFmt w:val="lowerLetter"/>
      <w:lvlText w:val="%5."/>
      <w:lvlJc w:val="left"/>
      <w:pPr>
        <w:ind w:left="3600" w:hanging="360"/>
      </w:pPr>
    </w:lvl>
    <w:lvl w:ilvl="5" w:tplc="9666457A">
      <w:start w:val="1"/>
      <w:numFmt w:val="lowerRoman"/>
      <w:lvlText w:val="%6."/>
      <w:lvlJc w:val="right"/>
      <w:pPr>
        <w:ind w:left="4320" w:hanging="180"/>
      </w:pPr>
    </w:lvl>
    <w:lvl w:ilvl="6" w:tplc="E934ED4A">
      <w:start w:val="1"/>
      <w:numFmt w:val="decimal"/>
      <w:lvlText w:val="%7."/>
      <w:lvlJc w:val="left"/>
      <w:pPr>
        <w:ind w:left="5040" w:hanging="360"/>
      </w:pPr>
    </w:lvl>
    <w:lvl w:ilvl="7" w:tplc="F57E91D8">
      <w:start w:val="1"/>
      <w:numFmt w:val="lowerLetter"/>
      <w:lvlText w:val="%8."/>
      <w:lvlJc w:val="left"/>
      <w:pPr>
        <w:ind w:left="5760" w:hanging="360"/>
      </w:pPr>
    </w:lvl>
    <w:lvl w:ilvl="8" w:tplc="6E5C58CC">
      <w:start w:val="1"/>
      <w:numFmt w:val="lowerRoman"/>
      <w:lvlText w:val="%9."/>
      <w:lvlJc w:val="right"/>
      <w:pPr>
        <w:ind w:left="6480" w:hanging="180"/>
      </w:pPr>
    </w:lvl>
  </w:abstractNum>
  <w:abstractNum w:abstractNumId="20" w15:restartNumberingAfterBreak="0">
    <w:nsid w:val="7A265C73"/>
    <w:multiLevelType w:val="hybridMultilevel"/>
    <w:tmpl w:val="065AFEA6"/>
    <w:lvl w:ilvl="0" w:tplc="6F801214">
      <w:start w:val="15"/>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CD0018E"/>
    <w:multiLevelType w:val="hybridMultilevel"/>
    <w:tmpl w:val="9ED286E0"/>
    <w:lvl w:ilvl="0" w:tplc="E61E90BC">
      <w:start w:val="1"/>
      <w:numFmt w:val="lowerLetter"/>
      <w:lvlText w:val="%1."/>
      <w:lvlJc w:val="left"/>
      <w:pPr>
        <w:ind w:left="720" w:hanging="360"/>
      </w:pPr>
    </w:lvl>
    <w:lvl w:ilvl="1" w:tplc="05EA57DC">
      <w:start w:val="1"/>
      <w:numFmt w:val="lowerLetter"/>
      <w:lvlText w:val="%2."/>
      <w:lvlJc w:val="left"/>
      <w:pPr>
        <w:ind w:left="1440" w:hanging="360"/>
      </w:pPr>
    </w:lvl>
    <w:lvl w:ilvl="2" w:tplc="F25A0AFC">
      <w:start w:val="1"/>
      <w:numFmt w:val="lowerRoman"/>
      <w:lvlText w:val="%3."/>
      <w:lvlJc w:val="right"/>
      <w:pPr>
        <w:ind w:left="2160" w:hanging="180"/>
      </w:pPr>
    </w:lvl>
    <w:lvl w:ilvl="3" w:tplc="D20475C6">
      <w:start w:val="1"/>
      <w:numFmt w:val="decimal"/>
      <w:lvlText w:val="%4."/>
      <w:lvlJc w:val="left"/>
      <w:pPr>
        <w:ind w:left="2880" w:hanging="360"/>
      </w:pPr>
    </w:lvl>
    <w:lvl w:ilvl="4" w:tplc="B6685A28">
      <w:start w:val="1"/>
      <w:numFmt w:val="lowerLetter"/>
      <w:lvlText w:val="%5."/>
      <w:lvlJc w:val="left"/>
      <w:pPr>
        <w:ind w:left="3600" w:hanging="360"/>
      </w:pPr>
    </w:lvl>
    <w:lvl w:ilvl="5" w:tplc="215620FA">
      <w:start w:val="1"/>
      <w:numFmt w:val="lowerRoman"/>
      <w:lvlText w:val="%6."/>
      <w:lvlJc w:val="right"/>
      <w:pPr>
        <w:ind w:left="4320" w:hanging="180"/>
      </w:pPr>
    </w:lvl>
    <w:lvl w:ilvl="6" w:tplc="72E2A8B8">
      <w:start w:val="1"/>
      <w:numFmt w:val="decimal"/>
      <w:lvlText w:val="%7."/>
      <w:lvlJc w:val="left"/>
      <w:pPr>
        <w:ind w:left="5040" w:hanging="360"/>
      </w:pPr>
    </w:lvl>
    <w:lvl w:ilvl="7" w:tplc="21202A46">
      <w:start w:val="1"/>
      <w:numFmt w:val="lowerLetter"/>
      <w:lvlText w:val="%8."/>
      <w:lvlJc w:val="left"/>
      <w:pPr>
        <w:ind w:left="5760" w:hanging="360"/>
      </w:pPr>
    </w:lvl>
    <w:lvl w:ilvl="8" w:tplc="1B6089A0">
      <w:start w:val="1"/>
      <w:numFmt w:val="lowerRoman"/>
      <w:lvlText w:val="%9."/>
      <w:lvlJc w:val="right"/>
      <w:pPr>
        <w:ind w:left="6480" w:hanging="180"/>
      </w:pPr>
    </w:lvl>
  </w:abstractNum>
  <w:num w:numId="1">
    <w:abstractNumId w:val="15"/>
  </w:num>
  <w:num w:numId="2">
    <w:abstractNumId w:val="14"/>
  </w:num>
  <w:num w:numId="3">
    <w:abstractNumId w:val="17"/>
  </w:num>
  <w:num w:numId="4">
    <w:abstractNumId w:val="19"/>
  </w:num>
  <w:num w:numId="5">
    <w:abstractNumId w:val="21"/>
  </w:num>
  <w:num w:numId="6">
    <w:abstractNumId w:val="6"/>
  </w:num>
  <w:num w:numId="7">
    <w:abstractNumId w:val="12"/>
  </w:num>
  <w:num w:numId="8">
    <w:abstractNumId w:val="9"/>
  </w:num>
  <w:num w:numId="9">
    <w:abstractNumId w:val="18"/>
  </w:num>
  <w:num w:numId="10">
    <w:abstractNumId w:val="5"/>
  </w:num>
  <w:num w:numId="11">
    <w:abstractNumId w:val="0"/>
  </w:num>
  <w:num w:numId="12">
    <w:abstractNumId w:val="1"/>
  </w:num>
  <w:num w:numId="13">
    <w:abstractNumId w:val="16"/>
  </w:num>
  <w:num w:numId="14">
    <w:abstractNumId w:val="8"/>
  </w:num>
  <w:num w:numId="15">
    <w:abstractNumId w:val="13"/>
  </w:num>
  <w:num w:numId="16">
    <w:abstractNumId w:val="20"/>
  </w:num>
  <w:num w:numId="17">
    <w:abstractNumId w:val="7"/>
  </w:num>
  <w:num w:numId="18">
    <w:abstractNumId w:val="2"/>
  </w:num>
  <w:num w:numId="19">
    <w:abstractNumId w:val="4"/>
  </w:num>
  <w:num w:numId="20">
    <w:abstractNumId w:val="10"/>
  </w:num>
  <w:num w:numId="21">
    <w:abstractNumId w:val="3"/>
  </w:num>
  <w:num w:numId="22">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0"/>
  <w:activeWritingStyle w:appName="MSWord" w:lang="en-US" w:vendorID="64" w:dllVersion="131078" w:nlCheck="1" w:checkStyle="0"/>
  <w:activeWritingStyle w:appName="MSWord" w:lang="en-NZ" w:vendorID="64" w:dllVersion="131078" w:nlCheck="1" w:checkStyle="1"/>
  <w:activeWritingStyle w:appName="MSWord" w:lang="en-CA" w:vendorID="64" w:dllVersion="131078" w:nlCheck="1" w:checkStyle="0"/>
  <w:activeWritingStyle w:appName="MSWord" w:lang="es-CO" w:vendorID="64" w:dllVersion="131078" w:nlCheck="1" w:checkStyle="0"/>
  <w:activeWritingStyle w:appName="MSWord" w:lang="es-MX"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A77"/>
    <w:rsid w:val="00001D37"/>
    <w:rsid w:val="00007F7F"/>
    <w:rsid w:val="00022DB5"/>
    <w:rsid w:val="00032232"/>
    <w:rsid w:val="000403D1"/>
    <w:rsid w:val="00042566"/>
    <w:rsid w:val="000448B9"/>
    <w:rsid w:val="000449AA"/>
    <w:rsid w:val="00050F6B"/>
    <w:rsid w:val="0005216E"/>
    <w:rsid w:val="00053D91"/>
    <w:rsid w:val="00072C8A"/>
    <w:rsid w:val="00072C8C"/>
    <w:rsid w:val="00073E70"/>
    <w:rsid w:val="00084E5A"/>
    <w:rsid w:val="000876EB"/>
    <w:rsid w:val="00091419"/>
    <w:rsid w:val="000931C0"/>
    <w:rsid w:val="000A2AFE"/>
    <w:rsid w:val="000A2FDA"/>
    <w:rsid w:val="000A69C6"/>
    <w:rsid w:val="000B175B"/>
    <w:rsid w:val="000B1E07"/>
    <w:rsid w:val="000B3A0F"/>
    <w:rsid w:val="000B4A3B"/>
    <w:rsid w:val="000C0FC2"/>
    <w:rsid w:val="000C3B42"/>
    <w:rsid w:val="000D1851"/>
    <w:rsid w:val="000E0415"/>
    <w:rsid w:val="00111F87"/>
    <w:rsid w:val="0011209E"/>
    <w:rsid w:val="00114904"/>
    <w:rsid w:val="0011692C"/>
    <w:rsid w:val="00146D32"/>
    <w:rsid w:val="001509BA"/>
    <w:rsid w:val="00153FA2"/>
    <w:rsid w:val="00154B0E"/>
    <w:rsid w:val="001719C7"/>
    <w:rsid w:val="00175DB6"/>
    <w:rsid w:val="00180F84"/>
    <w:rsid w:val="00190DA0"/>
    <w:rsid w:val="00195879"/>
    <w:rsid w:val="001B4B04"/>
    <w:rsid w:val="001C02C2"/>
    <w:rsid w:val="001C6663"/>
    <w:rsid w:val="001C7895"/>
    <w:rsid w:val="001D26DF"/>
    <w:rsid w:val="001D6952"/>
    <w:rsid w:val="001E0C2B"/>
    <w:rsid w:val="001E2790"/>
    <w:rsid w:val="002115D7"/>
    <w:rsid w:val="00211E0B"/>
    <w:rsid w:val="00211E72"/>
    <w:rsid w:val="00214047"/>
    <w:rsid w:val="0022130F"/>
    <w:rsid w:val="002318A7"/>
    <w:rsid w:val="00234270"/>
    <w:rsid w:val="00237785"/>
    <w:rsid w:val="002410DD"/>
    <w:rsid w:val="00241466"/>
    <w:rsid w:val="0024410D"/>
    <w:rsid w:val="00245FD0"/>
    <w:rsid w:val="00253D58"/>
    <w:rsid w:val="002574FD"/>
    <w:rsid w:val="0027725F"/>
    <w:rsid w:val="0028185A"/>
    <w:rsid w:val="002C03C8"/>
    <w:rsid w:val="002C21F0"/>
    <w:rsid w:val="002D0AF5"/>
    <w:rsid w:val="002D4176"/>
    <w:rsid w:val="002E7C76"/>
    <w:rsid w:val="002F006E"/>
    <w:rsid w:val="002F47CA"/>
    <w:rsid w:val="002F52ED"/>
    <w:rsid w:val="00303ED3"/>
    <w:rsid w:val="003107FA"/>
    <w:rsid w:val="00317071"/>
    <w:rsid w:val="003229D8"/>
    <w:rsid w:val="00325FC5"/>
    <w:rsid w:val="003314D1"/>
    <w:rsid w:val="00332236"/>
    <w:rsid w:val="00335A2F"/>
    <w:rsid w:val="00341937"/>
    <w:rsid w:val="0036088C"/>
    <w:rsid w:val="00361529"/>
    <w:rsid w:val="00364A1C"/>
    <w:rsid w:val="003835EE"/>
    <w:rsid w:val="00390052"/>
    <w:rsid w:val="0039277A"/>
    <w:rsid w:val="003972E0"/>
    <w:rsid w:val="003975ED"/>
    <w:rsid w:val="003A7D63"/>
    <w:rsid w:val="003C2CC4"/>
    <w:rsid w:val="003D206B"/>
    <w:rsid w:val="003D2765"/>
    <w:rsid w:val="003D4B23"/>
    <w:rsid w:val="003E592A"/>
    <w:rsid w:val="003E7D53"/>
    <w:rsid w:val="00402A2C"/>
    <w:rsid w:val="004210AF"/>
    <w:rsid w:val="00424C80"/>
    <w:rsid w:val="00427510"/>
    <w:rsid w:val="004325CB"/>
    <w:rsid w:val="004413C2"/>
    <w:rsid w:val="00443464"/>
    <w:rsid w:val="0044503A"/>
    <w:rsid w:val="004453BF"/>
    <w:rsid w:val="00446CE7"/>
    <w:rsid w:val="00446DE4"/>
    <w:rsid w:val="00447761"/>
    <w:rsid w:val="00451EC3"/>
    <w:rsid w:val="00456DD6"/>
    <w:rsid w:val="00463FA7"/>
    <w:rsid w:val="004721B1"/>
    <w:rsid w:val="00472982"/>
    <w:rsid w:val="00484670"/>
    <w:rsid w:val="004859EC"/>
    <w:rsid w:val="00487B50"/>
    <w:rsid w:val="004939B3"/>
    <w:rsid w:val="00493D3E"/>
    <w:rsid w:val="004947DE"/>
    <w:rsid w:val="00496A15"/>
    <w:rsid w:val="004971CB"/>
    <w:rsid w:val="004A6D3A"/>
    <w:rsid w:val="004B75D2"/>
    <w:rsid w:val="004C0361"/>
    <w:rsid w:val="004C21FE"/>
    <w:rsid w:val="004D0109"/>
    <w:rsid w:val="004D1140"/>
    <w:rsid w:val="004D62B8"/>
    <w:rsid w:val="004F55ED"/>
    <w:rsid w:val="0051739F"/>
    <w:rsid w:val="0052176C"/>
    <w:rsid w:val="005261E5"/>
    <w:rsid w:val="0053134C"/>
    <w:rsid w:val="005420F2"/>
    <w:rsid w:val="00542574"/>
    <w:rsid w:val="005436AB"/>
    <w:rsid w:val="0054626B"/>
    <w:rsid w:val="00546DBF"/>
    <w:rsid w:val="00553D76"/>
    <w:rsid w:val="00554B96"/>
    <w:rsid w:val="005552B5"/>
    <w:rsid w:val="0056117B"/>
    <w:rsid w:val="00567613"/>
    <w:rsid w:val="00571365"/>
    <w:rsid w:val="005759CF"/>
    <w:rsid w:val="00576396"/>
    <w:rsid w:val="00585DDC"/>
    <w:rsid w:val="00597B57"/>
    <w:rsid w:val="005A2E5B"/>
    <w:rsid w:val="005A6642"/>
    <w:rsid w:val="005A69B3"/>
    <w:rsid w:val="005B3DB3"/>
    <w:rsid w:val="005B4D83"/>
    <w:rsid w:val="005B6E48"/>
    <w:rsid w:val="005C0B9B"/>
    <w:rsid w:val="005C13F5"/>
    <w:rsid w:val="005C2413"/>
    <w:rsid w:val="005C511F"/>
    <w:rsid w:val="005C69BB"/>
    <w:rsid w:val="005D3CF2"/>
    <w:rsid w:val="005E1712"/>
    <w:rsid w:val="005F52A9"/>
    <w:rsid w:val="0061165E"/>
    <w:rsid w:val="00611ABD"/>
    <w:rsid w:val="00611FC4"/>
    <w:rsid w:val="006176FB"/>
    <w:rsid w:val="00622FEA"/>
    <w:rsid w:val="00640B26"/>
    <w:rsid w:val="006601B6"/>
    <w:rsid w:val="00670741"/>
    <w:rsid w:val="00672099"/>
    <w:rsid w:val="00674C17"/>
    <w:rsid w:val="006947AE"/>
    <w:rsid w:val="00696BD6"/>
    <w:rsid w:val="00697307"/>
    <w:rsid w:val="006A0C21"/>
    <w:rsid w:val="006A6B9D"/>
    <w:rsid w:val="006A7392"/>
    <w:rsid w:val="006B3189"/>
    <w:rsid w:val="006B7D65"/>
    <w:rsid w:val="006C28EE"/>
    <w:rsid w:val="006C35AD"/>
    <w:rsid w:val="006C44F2"/>
    <w:rsid w:val="006D4961"/>
    <w:rsid w:val="006D5F84"/>
    <w:rsid w:val="006D6DA6"/>
    <w:rsid w:val="006E564B"/>
    <w:rsid w:val="006E59E7"/>
    <w:rsid w:val="006E68A0"/>
    <w:rsid w:val="006F13F0"/>
    <w:rsid w:val="006F5035"/>
    <w:rsid w:val="006F5CF7"/>
    <w:rsid w:val="007052B4"/>
    <w:rsid w:val="0070635F"/>
    <w:rsid w:val="007065EB"/>
    <w:rsid w:val="0071701A"/>
    <w:rsid w:val="00720183"/>
    <w:rsid w:val="00723419"/>
    <w:rsid w:val="0072632A"/>
    <w:rsid w:val="0074200B"/>
    <w:rsid w:val="00745340"/>
    <w:rsid w:val="007579B1"/>
    <w:rsid w:val="00765158"/>
    <w:rsid w:val="00794AE0"/>
    <w:rsid w:val="00797F5B"/>
    <w:rsid w:val="007A2E08"/>
    <w:rsid w:val="007A6296"/>
    <w:rsid w:val="007B208E"/>
    <w:rsid w:val="007B5706"/>
    <w:rsid w:val="007B6BA5"/>
    <w:rsid w:val="007B7C6F"/>
    <w:rsid w:val="007C1B62"/>
    <w:rsid w:val="007C3390"/>
    <w:rsid w:val="007C377A"/>
    <w:rsid w:val="007C4F4B"/>
    <w:rsid w:val="007C5E9C"/>
    <w:rsid w:val="007D2CDC"/>
    <w:rsid w:val="007D5327"/>
    <w:rsid w:val="007E15F4"/>
    <w:rsid w:val="007E2BE6"/>
    <w:rsid w:val="007E58E5"/>
    <w:rsid w:val="007F6611"/>
    <w:rsid w:val="007F7CEE"/>
    <w:rsid w:val="008075C0"/>
    <w:rsid w:val="008155C3"/>
    <w:rsid w:val="008175E9"/>
    <w:rsid w:val="00821FCA"/>
    <w:rsid w:val="0082243E"/>
    <w:rsid w:val="008224C3"/>
    <w:rsid w:val="008242D7"/>
    <w:rsid w:val="008402E9"/>
    <w:rsid w:val="00855F7D"/>
    <w:rsid w:val="00856CD2"/>
    <w:rsid w:val="00861BC6"/>
    <w:rsid w:val="00871FD5"/>
    <w:rsid w:val="00884124"/>
    <w:rsid w:val="008979B1"/>
    <w:rsid w:val="008A6B25"/>
    <w:rsid w:val="008A6C4F"/>
    <w:rsid w:val="008C1E4D"/>
    <w:rsid w:val="008D050A"/>
    <w:rsid w:val="008E0E46"/>
    <w:rsid w:val="008F22EA"/>
    <w:rsid w:val="008F414A"/>
    <w:rsid w:val="008F48B4"/>
    <w:rsid w:val="0090452C"/>
    <w:rsid w:val="00907C3F"/>
    <w:rsid w:val="0092052C"/>
    <w:rsid w:val="0092237C"/>
    <w:rsid w:val="0093707B"/>
    <w:rsid w:val="00937693"/>
    <w:rsid w:val="009400EB"/>
    <w:rsid w:val="009427E3"/>
    <w:rsid w:val="00944104"/>
    <w:rsid w:val="00956D9B"/>
    <w:rsid w:val="00963CBA"/>
    <w:rsid w:val="009654B7"/>
    <w:rsid w:val="009707E6"/>
    <w:rsid w:val="00976B90"/>
    <w:rsid w:val="00991261"/>
    <w:rsid w:val="009A0B83"/>
    <w:rsid w:val="009A418B"/>
    <w:rsid w:val="009B019A"/>
    <w:rsid w:val="009B3800"/>
    <w:rsid w:val="009D22AC"/>
    <w:rsid w:val="009D50DB"/>
    <w:rsid w:val="009D663E"/>
    <w:rsid w:val="009E1C4E"/>
    <w:rsid w:val="009F34F1"/>
    <w:rsid w:val="009F58A8"/>
    <w:rsid w:val="00A003D2"/>
    <w:rsid w:val="00A02B35"/>
    <w:rsid w:val="00A05C48"/>
    <w:rsid w:val="00A05E0B"/>
    <w:rsid w:val="00A1427D"/>
    <w:rsid w:val="00A4634F"/>
    <w:rsid w:val="00A51CF3"/>
    <w:rsid w:val="00A72F22"/>
    <w:rsid w:val="00A748A6"/>
    <w:rsid w:val="00A879A4"/>
    <w:rsid w:val="00A87E95"/>
    <w:rsid w:val="00A92E29"/>
    <w:rsid w:val="00AB3CE4"/>
    <w:rsid w:val="00AB454F"/>
    <w:rsid w:val="00AB4D4C"/>
    <w:rsid w:val="00AB61A8"/>
    <w:rsid w:val="00AC2E56"/>
    <w:rsid w:val="00AD0613"/>
    <w:rsid w:val="00AD09E9"/>
    <w:rsid w:val="00AD7489"/>
    <w:rsid w:val="00AF0576"/>
    <w:rsid w:val="00AF3829"/>
    <w:rsid w:val="00B037F0"/>
    <w:rsid w:val="00B12DF9"/>
    <w:rsid w:val="00B2327D"/>
    <w:rsid w:val="00B2328B"/>
    <w:rsid w:val="00B2715D"/>
    <w:rsid w:val="00B2718F"/>
    <w:rsid w:val="00B30179"/>
    <w:rsid w:val="00B3317B"/>
    <w:rsid w:val="00B334DC"/>
    <w:rsid w:val="00B3631A"/>
    <w:rsid w:val="00B37E0A"/>
    <w:rsid w:val="00B4035F"/>
    <w:rsid w:val="00B50D48"/>
    <w:rsid w:val="00B53013"/>
    <w:rsid w:val="00B57EDB"/>
    <w:rsid w:val="00B64A0B"/>
    <w:rsid w:val="00B67F5E"/>
    <w:rsid w:val="00B73E65"/>
    <w:rsid w:val="00B81E12"/>
    <w:rsid w:val="00B87110"/>
    <w:rsid w:val="00B94B00"/>
    <w:rsid w:val="00B9510A"/>
    <w:rsid w:val="00B97FA8"/>
    <w:rsid w:val="00BB5313"/>
    <w:rsid w:val="00BB7EF2"/>
    <w:rsid w:val="00BC1385"/>
    <w:rsid w:val="00BC74E9"/>
    <w:rsid w:val="00BD6CFB"/>
    <w:rsid w:val="00BE00DE"/>
    <w:rsid w:val="00BE618E"/>
    <w:rsid w:val="00C24693"/>
    <w:rsid w:val="00C359A4"/>
    <w:rsid w:val="00C35F0B"/>
    <w:rsid w:val="00C42278"/>
    <w:rsid w:val="00C463DD"/>
    <w:rsid w:val="00C50CC9"/>
    <w:rsid w:val="00C53250"/>
    <w:rsid w:val="00C62C58"/>
    <w:rsid w:val="00C64458"/>
    <w:rsid w:val="00C745C3"/>
    <w:rsid w:val="00C80D70"/>
    <w:rsid w:val="00C86EEF"/>
    <w:rsid w:val="00C95BBE"/>
    <w:rsid w:val="00CA2A58"/>
    <w:rsid w:val="00CC0B55"/>
    <w:rsid w:val="00CD1E06"/>
    <w:rsid w:val="00CD6995"/>
    <w:rsid w:val="00CE4A8F"/>
    <w:rsid w:val="00CE5514"/>
    <w:rsid w:val="00CF0214"/>
    <w:rsid w:val="00CF0545"/>
    <w:rsid w:val="00CF3588"/>
    <w:rsid w:val="00CF586F"/>
    <w:rsid w:val="00CF7D43"/>
    <w:rsid w:val="00D034B1"/>
    <w:rsid w:val="00D11129"/>
    <w:rsid w:val="00D11CE6"/>
    <w:rsid w:val="00D2031B"/>
    <w:rsid w:val="00D22332"/>
    <w:rsid w:val="00D25FE2"/>
    <w:rsid w:val="00D33134"/>
    <w:rsid w:val="00D42B42"/>
    <w:rsid w:val="00D43252"/>
    <w:rsid w:val="00D550F9"/>
    <w:rsid w:val="00D572B0"/>
    <w:rsid w:val="00D62E90"/>
    <w:rsid w:val="00D64D66"/>
    <w:rsid w:val="00D76BE5"/>
    <w:rsid w:val="00D978C6"/>
    <w:rsid w:val="00DA5A30"/>
    <w:rsid w:val="00DA67AD"/>
    <w:rsid w:val="00DB18CE"/>
    <w:rsid w:val="00DB3A8C"/>
    <w:rsid w:val="00DB698D"/>
    <w:rsid w:val="00DC286B"/>
    <w:rsid w:val="00DE3655"/>
    <w:rsid w:val="00DE3EC0"/>
    <w:rsid w:val="00DF614B"/>
    <w:rsid w:val="00DF6159"/>
    <w:rsid w:val="00E023F5"/>
    <w:rsid w:val="00E051D8"/>
    <w:rsid w:val="00E10083"/>
    <w:rsid w:val="00E11593"/>
    <w:rsid w:val="00E12B6B"/>
    <w:rsid w:val="00E130AB"/>
    <w:rsid w:val="00E23BBC"/>
    <w:rsid w:val="00E373AB"/>
    <w:rsid w:val="00E438D9"/>
    <w:rsid w:val="00E5536D"/>
    <w:rsid w:val="00E5644E"/>
    <w:rsid w:val="00E61A6C"/>
    <w:rsid w:val="00E7260F"/>
    <w:rsid w:val="00E806EE"/>
    <w:rsid w:val="00E8716C"/>
    <w:rsid w:val="00E90AB1"/>
    <w:rsid w:val="00E9471B"/>
    <w:rsid w:val="00E9605C"/>
    <w:rsid w:val="00E96630"/>
    <w:rsid w:val="00EA5EC1"/>
    <w:rsid w:val="00EB0C95"/>
    <w:rsid w:val="00EB0FB9"/>
    <w:rsid w:val="00EB2531"/>
    <w:rsid w:val="00EC250E"/>
    <w:rsid w:val="00ED0CA9"/>
    <w:rsid w:val="00ED7A2A"/>
    <w:rsid w:val="00EE1CF0"/>
    <w:rsid w:val="00EE2A77"/>
    <w:rsid w:val="00EE36FF"/>
    <w:rsid w:val="00EF1D7F"/>
    <w:rsid w:val="00EF5BDB"/>
    <w:rsid w:val="00F07FD9"/>
    <w:rsid w:val="00F15AA7"/>
    <w:rsid w:val="00F225CB"/>
    <w:rsid w:val="00F23933"/>
    <w:rsid w:val="00F24119"/>
    <w:rsid w:val="00F27D1B"/>
    <w:rsid w:val="00F34542"/>
    <w:rsid w:val="00F40E75"/>
    <w:rsid w:val="00F42CD9"/>
    <w:rsid w:val="00F4793B"/>
    <w:rsid w:val="00F52936"/>
    <w:rsid w:val="00F57819"/>
    <w:rsid w:val="00F674F3"/>
    <w:rsid w:val="00F677CB"/>
    <w:rsid w:val="00F714CA"/>
    <w:rsid w:val="00F96A1E"/>
    <w:rsid w:val="00FA72FE"/>
    <w:rsid w:val="00FA7DF3"/>
    <w:rsid w:val="00FB444C"/>
    <w:rsid w:val="00FC48F4"/>
    <w:rsid w:val="00FC624F"/>
    <w:rsid w:val="00FC68B7"/>
    <w:rsid w:val="00FD7C12"/>
    <w:rsid w:val="00FF153D"/>
    <w:rsid w:val="05838D85"/>
    <w:rsid w:val="05EFC4C4"/>
    <w:rsid w:val="2369A084"/>
    <w:rsid w:val="2442670C"/>
    <w:rsid w:val="2C97E2E0"/>
    <w:rsid w:val="38FE22D8"/>
    <w:rsid w:val="39CA7939"/>
    <w:rsid w:val="3F77CA45"/>
    <w:rsid w:val="5220209A"/>
    <w:rsid w:val="582475D6"/>
    <w:rsid w:val="5A30BE08"/>
    <w:rsid w:val="6134B13C"/>
    <w:rsid w:val="687879B1"/>
    <w:rsid w:val="7E1146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EFC4C4"/>
  <w15:docId w15:val="{08F4587D-4A31-4C83-AF54-C1351A6B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2"/>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13"/>
      </w:numPr>
      <w:spacing w:after="120"/>
      <w:ind w:right="1134"/>
      <w:jc w:val="both"/>
    </w:p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SingleTxtGChar">
    <w:name w:val="_ Single Txt_G Char"/>
    <w:link w:val="SingleTxtG"/>
    <w:rsid w:val="002F006E"/>
    <w:rPr>
      <w:lang w:val="en-GB" w:eastAsia="en-US" w:bidi="ar-SA"/>
    </w:rPr>
  </w:style>
  <w:style w:type="character" w:customStyle="1" w:styleId="H1GChar">
    <w:name w:val="_ H_1_G Char"/>
    <w:link w:val="H1G"/>
    <w:rsid w:val="002F006E"/>
    <w:rPr>
      <w:b/>
      <w:sz w:val="24"/>
      <w:lang w:val="en-GB" w:eastAsia="en-US" w:bidi="ar-SA"/>
    </w:rPr>
  </w:style>
  <w:style w:type="paragraph" w:styleId="BalloonText">
    <w:name w:val="Balloon Text"/>
    <w:basedOn w:val="Normal"/>
    <w:link w:val="BalloonTextChar"/>
    <w:rsid w:val="00EB0C9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B0C95"/>
    <w:rPr>
      <w:rFonts w:ascii="Tahoma" w:hAnsi="Tahoma" w:cs="Tahoma"/>
      <w:sz w:val="16"/>
      <w:szCs w:val="16"/>
      <w:lang w:eastAsia="en-US"/>
    </w:rPr>
  </w:style>
  <w:style w:type="character" w:styleId="CommentReference">
    <w:name w:val="annotation reference"/>
    <w:basedOn w:val="DefaultParagraphFont"/>
    <w:uiPriority w:val="99"/>
    <w:rsid w:val="00EE36FF"/>
    <w:rPr>
      <w:sz w:val="16"/>
      <w:szCs w:val="16"/>
    </w:rPr>
  </w:style>
  <w:style w:type="paragraph" w:styleId="CommentText">
    <w:name w:val="annotation text"/>
    <w:basedOn w:val="Normal"/>
    <w:link w:val="CommentTextChar"/>
    <w:rsid w:val="00EE36FF"/>
    <w:pPr>
      <w:spacing w:line="240" w:lineRule="auto"/>
    </w:pPr>
  </w:style>
  <w:style w:type="character" w:customStyle="1" w:styleId="CommentTextChar">
    <w:name w:val="Comment Text Char"/>
    <w:basedOn w:val="DefaultParagraphFont"/>
    <w:link w:val="CommentText"/>
    <w:rsid w:val="00EE36FF"/>
    <w:rPr>
      <w:lang w:eastAsia="en-US"/>
    </w:rPr>
  </w:style>
  <w:style w:type="paragraph" w:styleId="CommentSubject">
    <w:name w:val="annotation subject"/>
    <w:basedOn w:val="CommentText"/>
    <w:next w:val="CommentText"/>
    <w:link w:val="CommentSubjectChar"/>
    <w:rsid w:val="00EE36FF"/>
    <w:rPr>
      <w:b/>
      <w:bCs/>
    </w:rPr>
  </w:style>
  <w:style w:type="character" w:customStyle="1" w:styleId="CommentSubjectChar">
    <w:name w:val="Comment Subject Char"/>
    <w:basedOn w:val="CommentTextChar"/>
    <w:link w:val="CommentSubject"/>
    <w:rsid w:val="00EE36FF"/>
    <w:rPr>
      <w:b/>
      <w:bCs/>
      <w:lang w:eastAsia="en-US"/>
    </w:rPr>
  </w:style>
  <w:style w:type="character" w:customStyle="1" w:styleId="FootnoteTextChar">
    <w:name w:val="Footnote Text Char"/>
    <w:aliases w:val="5_G Char"/>
    <w:basedOn w:val="DefaultParagraphFont"/>
    <w:link w:val="FootnoteText"/>
    <w:rsid w:val="00154B0E"/>
    <w:rPr>
      <w:sz w:val="18"/>
      <w:lang w:eastAsia="en-US"/>
    </w:rPr>
  </w:style>
  <w:style w:type="paragraph" w:customStyle="1" w:styleId="ecxmsonormal">
    <w:name w:val="ecxmsonormal"/>
    <w:basedOn w:val="Normal"/>
    <w:rsid w:val="00154B0E"/>
    <w:pPr>
      <w:suppressAutoHyphens w:val="0"/>
      <w:spacing w:before="100" w:beforeAutospacing="1" w:after="100" w:afterAutospacing="1" w:line="240" w:lineRule="auto"/>
    </w:pPr>
    <w:rPr>
      <w:sz w:val="24"/>
      <w:szCs w:val="24"/>
      <w:lang w:val="en-US"/>
    </w:rPr>
  </w:style>
  <w:style w:type="character" w:customStyle="1" w:styleId="apple-converted-space">
    <w:name w:val="apple-converted-space"/>
    <w:basedOn w:val="DefaultParagraphFont"/>
    <w:rsid w:val="00154B0E"/>
  </w:style>
  <w:style w:type="paragraph" w:styleId="ListParagraph">
    <w:name w:val="List Paragraph"/>
    <w:basedOn w:val="Normal"/>
    <w:uiPriority w:val="34"/>
    <w:qFormat/>
    <w:rsid w:val="00D034B1"/>
    <w:pPr>
      <w:suppressAutoHyphens w:val="0"/>
      <w:spacing w:line="240" w:lineRule="auto"/>
      <w:ind w:left="720"/>
    </w:pPr>
    <w:rPr>
      <w:rFonts w:ascii="Calibri" w:eastAsiaTheme="minorHAnsi" w:hAnsi="Calibri" w:cs="Calibri"/>
      <w:sz w:val="22"/>
      <w:szCs w:val="22"/>
      <w:lang w:val="es-MX" w:eastAsia="es-MX"/>
    </w:rPr>
  </w:style>
  <w:style w:type="character" w:customStyle="1" w:styleId="HeaderChar">
    <w:name w:val="Header Char"/>
    <w:aliases w:val="6_G Char"/>
    <w:basedOn w:val="DefaultParagraphFont"/>
    <w:link w:val="Header"/>
    <w:uiPriority w:val="99"/>
    <w:rsid w:val="004971CB"/>
    <w:rPr>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2510">
      <w:bodyDiv w:val="1"/>
      <w:marLeft w:val="0"/>
      <w:marRight w:val="0"/>
      <w:marTop w:val="0"/>
      <w:marBottom w:val="0"/>
      <w:divBdr>
        <w:top w:val="none" w:sz="0" w:space="0" w:color="auto"/>
        <w:left w:val="none" w:sz="0" w:space="0" w:color="auto"/>
        <w:bottom w:val="none" w:sz="0" w:space="0" w:color="auto"/>
        <w:right w:val="none" w:sz="0" w:space="0" w:color="auto"/>
      </w:divBdr>
    </w:div>
    <w:div w:id="930166829">
      <w:bodyDiv w:val="1"/>
      <w:marLeft w:val="0"/>
      <w:marRight w:val="0"/>
      <w:marTop w:val="0"/>
      <w:marBottom w:val="0"/>
      <w:divBdr>
        <w:top w:val="none" w:sz="0" w:space="0" w:color="auto"/>
        <w:left w:val="none" w:sz="0" w:space="0" w:color="auto"/>
        <w:bottom w:val="none" w:sz="0" w:space="0" w:color="auto"/>
        <w:right w:val="none" w:sz="0" w:space="0" w:color="auto"/>
      </w:divBdr>
    </w:div>
    <w:div w:id="159574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mailto:dianaesperanza.castillo@cancilleria.gov.co" TargetMode="External"/><Relationship Id="rId1" Type="http://schemas.openxmlformats.org/officeDocument/2006/relationships/hyperlink" Target="mailto:druiz@sre.gob.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aa4c0d-fa6d-4949-a39e-4ac67489c2de">
  <we:reference id="WA104124372"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ther_x0020_Languages xmlns="03f70f19-e89e-44b9-ac87-203e4f9d8d9f">
      <Url xsi:nil="true"/>
      <Description xsi:nil="true"/>
    </Other_x0020_Languages>
    <Type_x0020_of_x0020_Document xmlns="03f70f19-e89e-44b9-ac87-203e4f9d8d9f">Oral revisions</Type_x0020_of_x0020_Document>
    <Symbol_x0020_Number xmlns="03f70f19-e89e-44b9-ac87-203e4f9d8d9f">A_HRC_35_L.29</Symbol_x0020_Number>
    <Voting_x0020_Process_x0020_Order xmlns="03f70f19-e89e-44b9-ac87-203e4f9d8d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AD5C4ECC368640B3AB67C4B860E2A3" ma:contentTypeVersion="15" ma:contentTypeDescription="Create a new document." ma:contentTypeScope="" ma:versionID="5175888d905aea3f99effcc845420006">
  <xsd:schema xmlns:xsd="http://www.w3.org/2001/XMLSchema" xmlns:xs="http://www.w3.org/2001/XMLSchema" xmlns:p="http://schemas.microsoft.com/office/2006/metadata/properties" xmlns:ns2="03f70f19-e89e-44b9-ac87-203e4f9d8d9f" targetNamespace="http://schemas.microsoft.com/office/2006/metadata/properties" ma:root="true" ma:fieldsID="165a1dc4ce54e7402fd199464bac19bc" ns2:_="">
    <xsd:import namespace="03f70f19-e89e-44b9-ac87-203e4f9d8d9f"/>
    <xsd:element name="properties">
      <xsd:complexType>
        <xsd:sequence>
          <xsd:element name="documentManagement">
            <xsd:complexType>
              <xsd:all>
                <xsd:element ref="ns2:Symbol_x0020_Number" minOccurs="0"/>
                <xsd:element ref="ns2:Type_x0020_of_x0020_Document" minOccurs="0"/>
                <xsd:element ref="ns2:Voting_x0020_Process_x0020_Order" minOccurs="0"/>
                <xsd:element ref="ns2:Other_x0020_Langua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70f19-e89e-44b9-ac87-203e4f9d8d9f" elementFormDefault="qualified">
    <xsd:import namespace="http://schemas.microsoft.com/office/2006/documentManagement/types"/>
    <xsd:import namespace="http://schemas.microsoft.com/office/infopath/2007/PartnerControls"/>
    <xsd:element name="Symbol_x0020_Number" ma:index="8" nillable="true" ma:displayName="Symbol Number" ma:internalName="Symbol_x0020_Number" ma:readOnly="false">
      <xsd:simpleType>
        <xsd:restriction base="dms:Text">
          <xsd:maxLength value="255"/>
        </xsd:restriction>
      </xsd:simpleType>
    </xsd:element>
    <xsd:element name="Type_x0020_of_x0020_Document" ma:index="9" nillable="true" ma:displayName="Type of Document" ma:default="3 - L. document as received" ma:format="Dropdown" ma:internalName="Type_x0020_of_x0020_Document">
      <xsd:simpleType>
        <xsd:restriction base="dms:Choice">
          <xsd:enumeration value="3 - L. document as received"/>
          <xsd:enumeration value="2 - L. document as issued"/>
          <xsd:enumeration value="Final document as adopted"/>
          <xsd:enumeration value="Introductory Statement"/>
          <xsd:enumeration value="Oral revisions"/>
          <xsd:enumeration value="PBI"/>
          <xsd:enumeration value="1 - Voting Process"/>
        </xsd:restriction>
      </xsd:simpleType>
    </xsd:element>
    <xsd:element name="Voting_x0020_Process_x0020_Order" ma:index="10" nillable="true" ma:displayName="Voting Process Order" ma:internalName="Voting_x0020_Process_x0020_Order">
      <xsd:simpleType>
        <xsd:restriction base="dms:Number"/>
      </xsd:simpleType>
    </xsd:element>
    <xsd:element name="Other_x0020_Languages" ma:index="11" nillable="true" ma:displayName="Other Languages" ma:format="Hyperlink" ma:internalName="Other_x0020_Language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86118-D89D-4B4E-A0DC-6D94678487D7}">
  <ds:schemaRefs>
    <ds:schemaRef ds:uri="http://schemas.microsoft.com/sharepoint/v3/contenttype/forms"/>
  </ds:schemaRefs>
</ds:datastoreItem>
</file>

<file path=customXml/itemProps2.xml><?xml version="1.0" encoding="utf-8"?>
<ds:datastoreItem xmlns:ds="http://schemas.openxmlformats.org/officeDocument/2006/customXml" ds:itemID="{1975B86B-6C9B-40C1-AA86-84ABAF2A1F26}">
  <ds:schemaRefs>
    <ds:schemaRef ds:uri="http://schemas.microsoft.com/office/2006/metadata/properties"/>
    <ds:schemaRef ds:uri="http://schemas.microsoft.com/office/infopath/2007/PartnerControls"/>
    <ds:schemaRef ds:uri="03f70f19-e89e-44b9-ac87-203e4f9d8d9f"/>
  </ds:schemaRefs>
</ds:datastoreItem>
</file>

<file path=customXml/itemProps3.xml><?xml version="1.0" encoding="utf-8"?>
<ds:datastoreItem xmlns:ds="http://schemas.openxmlformats.org/officeDocument/2006/customXml" ds:itemID="{F632423A-1B99-4F76-AB4F-D8DB11922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70f19-e89e-44b9-ac87-203e4f9d8d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715655-420A-4936-8572-637A5E725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3307</Words>
  <Characters>18851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CSD</Company>
  <LinksUpToDate>false</LinksUpToDate>
  <CharactersWithSpaces>22114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A/HRC/35/L.29</dc:subject>
  <dc:creator>Diego Ruiz Gayol</dc:creator>
  <cp:lastModifiedBy>Ana Doborjginidze</cp:lastModifiedBy>
  <cp:revision>2</cp:revision>
  <cp:lastPrinted>2018-06-13T09:52:00Z</cp:lastPrinted>
  <dcterms:created xsi:type="dcterms:W3CDTF">2018-06-14T14:54:00Z</dcterms:created>
  <dcterms:modified xsi:type="dcterms:W3CDTF">2018-06-14T14:54:00Z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0x010100FFAD5C4ECC368640B3AB67C4B860E2A3</vt:lpwstr>
  </property>
</Properties>
</file>